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3ED587" w14:textId="77777777" w:rsidR="002E5F5B" w:rsidRPr="00E775B0" w:rsidRDefault="002E5F5B" w:rsidP="00E775B0">
      <w:bookmarkStart w:id="0" w:name="_GoBack"/>
      <w:bookmarkEnd w:id="0"/>
      <w:r>
        <w:rPr>
          <w:noProof/>
          <w:lang w:eastAsia="en-AU"/>
        </w:rPr>
        <w:drawing>
          <wp:inline distT="0" distB="0" distL="0" distR="0" wp14:anchorId="2A3ED599" wp14:editId="2A3ED59A">
            <wp:extent cx="2674800" cy="493200"/>
            <wp:effectExtent l="0" t="0" r="0" b="2540"/>
            <wp:docPr id="1" name="Picture 1"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4800" cy="493200"/>
                    </a:xfrm>
                    <a:prstGeom prst="rect">
                      <a:avLst/>
                    </a:prstGeom>
                  </pic:spPr>
                </pic:pic>
              </a:graphicData>
            </a:graphic>
          </wp:inline>
        </w:drawing>
      </w:r>
    </w:p>
    <w:p w14:paraId="11A0F537" w14:textId="77777777" w:rsidR="0093743B" w:rsidRPr="006C4E78" w:rsidRDefault="0093743B" w:rsidP="0093743B">
      <w:pPr>
        <w:pStyle w:val="Heading1"/>
      </w:pPr>
      <w:r w:rsidRPr="006C4E78">
        <w:t>Guide for pharmacists dispensing medicinal cannabis</w:t>
      </w:r>
    </w:p>
    <w:p w14:paraId="66EBE69E" w14:textId="77777777" w:rsidR="0093743B" w:rsidRPr="006C4E78" w:rsidRDefault="0093743B" w:rsidP="0093743B">
      <w:pPr>
        <w:pStyle w:val="Heading2"/>
      </w:pPr>
      <w:r w:rsidRPr="006C4E78">
        <w:t>Background</w:t>
      </w:r>
    </w:p>
    <w:p w14:paraId="75EBF102" w14:textId="7CA5E051" w:rsidR="0093743B" w:rsidRPr="006C4E78" w:rsidRDefault="005E245C" w:rsidP="0093743B">
      <w:r>
        <w:t>Medicinal c</w:t>
      </w:r>
      <w:r w:rsidR="0093743B" w:rsidRPr="006C4E78">
        <w:t>annabis containing tetrahydrocannabinol (THC) is classified as a Schedule 8</w:t>
      </w:r>
      <w:r w:rsidR="00B81149">
        <w:t xml:space="preserve"> (S8)</w:t>
      </w:r>
      <w:r w:rsidR="0093743B" w:rsidRPr="006C4E78">
        <w:t xml:space="preserve"> medicine. Pharmacists </w:t>
      </w:r>
      <w:r w:rsidR="00D64DA0">
        <w:t xml:space="preserve">must handle </w:t>
      </w:r>
      <w:r w:rsidR="0093743B" w:rsidRPr="006C4E78">
        <w:t xml:space="preserve">cannabis based products in the same manner as other </w:t>
      </w:r>
      <w:r w:rsidR="00B81149">
        <w:t>S8</w:t>
      </w:r>
      <w:r w:rsidR="00D64DA0">
        <w:t xml:space="preserve"> medicines.</w:t>
      </w:r>
    </w:p>
    <w:p w14:paraId="7F5D7DD7" w14:textId="4F95320C" w:rsidR="0093743B" w:rsidRDefault="0093743B" w:rsidP="0093743B">
      <w:r w:rsidRPr="006C4E78">
        <w:t xml:space="preserve">At present, most cannabis based products are not on the Australian Register of Therapeutic Goods (ARTG) and are therefore subject to alternative supply pathways, such as the Therapeutic Goods Administration (TGA) </w:t>
      </w:r>
      <w:hyperlink r:id="rId9" w:history="1">
        <w:r w:rsidRPr="0093743B">
          <w:rPr>
            <w:rStyle w:val="Hyperlink"/>
            <w:szCs w:val="24"/>
          </w:rPr>
          <w:t>Special Access Scheme (SAS)</w:t>
        </w:r>
      </w:hyperlink>
      <w:r w:rsidRPr="006C4E78">
        <w:t xml:space="preserve"> </w:t>
      </w:r>
      <w:r w:rsidR="007A7BA9">
        <w:t xml:space="preserve">and </w:t>
      </w:r>
      <w:hyperlink r:id="rId10" w:history="1">
        <w:r w:rsidR="00D64DA0">
          <w:rPr>
            <w:rStyle w:val="Hyperlink"/>
            <w:szCs w:val="24"/>
          </w:rPr>
          <w:t>Authorised Prescriber Scheme (AP)</w:t>
        </w:r>
      </w:hyperlink>
      <w:r w:rsidR="007A7BA9">
        <w:t>.</w:t>
      </w:r>
    </w:p>
    <w:p w14:paraId="7A049FC1" w14:textId="2FC63BE9" w:rsidR="0093743B" w:rsidRDefault="00B81149" w:rsidP="007A7BA9">
      <w:r w:rsidRPr="00811919">
        <w:t>As for all S8 medicines, p</w:t>
      </w:r>
      <w:r w:rsidR="0093743B" w:rsidRPr="00811919">
        <w:t xml:space="preserve">rescribers </w:t>
      </w:r>
      <w:r w:rsidRPr="00811919">
        <w:t>must comply with</w:t>
      </w:r>
      <w:r w:rsidR="0093743B" w:rsidRPr="00811919">
        <w:t xml:space="preserve"> the</w:t>
      </w:r>
      <w:r w:rsidR="007A7BA9" w:rsidRPr="00811919">
        <w:t xml:space="preserve"> </w:t>
      </w:r>
      <w:hyperlink r:id="rId11" w:history="1">
        <w:r w:rsidR="007A7BA9" w:rsidRPr="00811919">
          <w:rPr>
            <w:rStyle w:val="Hyperlink"/>
          </w:rPr>
          <w:t>Schedule 8 Medicines Prescribing Code</w:t>
        </w:r>
      </w:hyperlink>
      <w:r w:rsidR="007A7BA9" w:rsidRPr="00811919">
        <w:t>.</w:t>
      </w:r>
    </w:p>
    <w:p w14:paraId="73581491" w14:textId="6BB9A4A5" w:rsidR="00D64DA0" w:rsidRPr="0028084E" w:rsidRDefault="009611AC" w:rsidP="007A7BA9">
      <w:pPr>
        <w:rPr>
          <w:szCs w:val="24"/>
        </w:rPr>
      </w:pPr>
      <w:hyperlink r:id="rId12" w:history="1">
        <w:r w:rsidR="00D64DA0" w:rsidRPr="0028084E">
          <w:rPr>
            <w:rStyle w:val="Hyperlink"/>
            <w:szCs w:val="24"/>
          </w:rPr>
          <w:t>Detailed information about medicinal cannabis</w:t>
        </w:r>
      </w:hyperlink>
      <w:r w:rsidR="00D64DA0">
        <w:t xml:space="preserve"> for health professionals is available on the Department’s website.</w:t>
      </w:r>
      <w:r w:rsidR="0028084E">
        <w:t xml:space="preserve"> </w:t>
      </w:r>
      <w:r w:rsidR="0028084E" w:rsidRPr="006C4E78">
        <w:t xml:space="preserve">Patients can find </w:t>
      </w:r>
      <w:hyperlink r:id="rId13" w:history="1">
        <w:r w:rsidR="0028084E" w:rsidRPr="0028084E">
          <w:rPr>
            <w:rStyle w:val="Hyperlink"/>
            <w:szCs w:val="24"/>
          </w:rPr>
          <w:t>information about medicinal cannabis</w:t>
        </w:r>
      </w:hyperlink>
      <w:r w:rsidR="0028084E" w:rsidRPr="0028084E">
        <w:rPr>
          <w:rStyle w:val="Hyperlink"/>
          <w:szCs w:val="24"/>
        </w:rPr>
        <w:t xml:space="preserve"> </w:t>
      </w:r>
      <w:r w:rsidR="0028084E" w:rsidRPr="006C4E78">
        <w:t xml:space="preserve">on </w:t>
      </w:r>
      <w:r w:rsidR="0028084E">
        <w:t xml:space="preserve">the </w:t>
      </w:r>
      <w:hyperlink r:id="rId14" w:history="1">
        <w:r w:rsidR="0028084E">
          <w:rPr>
            <w:rStyle w:val="Hyperlink"/>
          </w:rPr>
          <w:t>Healthy WA</w:t>
        </w:r>
      </w:hyperlink>
      <w:r w:rsidR="0028084E" w:rsidRPr="006C4E78">
        <w:t xml:space="preserve"> website</w:t>
      </w:r>
      <w:r w:rsidR="0028084E">
        <w:t>.</w:t>
      </w:r>
      <w:r w:rsidR="0028084E" w:rsidRPr="006C4E78">
        <w:t xml:space="preserve"> </w:t>
      </w:r>
    </w:p>
    <w:p w14:paraId="072C4CF6" w14:textId="5112B87C" w:rsidR="0093743B" w:rsidRPr="007A7BA9" w:rsidRDefault="0093743B" w:rsidP="007A7BA9">
      <w:pPr>
        <w:pStyle w:val="Heading2"/>
      </w:pPr>
      <w:r>
        <w:t>Steps when</w:t>
      </w:r>
      <w:r w:rsidRPr="006C4E78">
        <w:t xml:space="preserve"> dispensing medicinal cannabis</w:t>
      </w:r>
    </w:p>
    <w:p w14:paraId="76211112" w14:textId="560D34A7" w:rsidR="009D1044" w:rsidRDefault="009D1044" w:rsidP="005E245C">
      <w:pPr>
        <w:pStyle w:val="ListParagraph"/>
        <w:numPr>
          <w:ilvl w:val="0"/>
          <w:numId w:val="7"/>
        </w:numPr>
        <w:ind w:left="714" w:hanging="357"/>
        <w:contextualSpacing w:val="0"/>
      </w:pPr>
      <w:r>
        <w:t>Once a medical practitioner has received the required approvals, they may write a prescription for medicinal cannabis for their patient.</w:t>
      </w:r>
    </w:p>
    <w:p w14:paraId="5F2AA664" w14:textId="648E0763" w:rsidR="0093743B" w:rsidRPr="006C4E78" w:rsidRDefault="00A21CAF" w:rsidP="005E245C">
      <w:pPr>
        <w:pStyle w:val="ListParagraph"/>
        <w:numPr>
          <w:ilvl w:val="0"/>
          <w:numId w:val="7"/>
        </w:numPr>
        <w:ind w:left="714" w:hanging="357"/>
        <w:contextualSpacing w:val="0"/>
      </w:pPr>
      <w:r>
        <w:t xml:space="preserve">A patient </w:t>
      </w:r>
      <w:r w:rsidR="00002EA5">
        <w:t>can present</w:t>
      </w:r>
      <w:r>
        <w:t xml:space="preserve"> </w:t>
      </w:r>
      <w:r w:rsidR="00002EA5">
        <w:t>their prescrip</w:t>
      </w:r>
      <w:r w:rsidR="009D1044">
        <w:t>tion</w:t>
      </w:r>
      <w:r w:rsidR="00002EA5">
        <w:t xml:space="preserve"> to any </w:t>
      </w:r>
      <w:r w:rsidR="0093743B" w:rsidRPr="006C4E78">
        <w:t>pharmacy</w:t>
      </w:r>
      <w:r w:rsidR="009D1044">
        <w:t xml:space="preserve"> in Western Australia (WA) for dispensing.</w:t>
      </w:r>
      <w:r w:rsidR="0093743B" w:rsidRPr="006C4E78">
        <w:t xml:space="preserve"> </w:t>
      </w:r>
      <w:r w:rsidR="009D1044">
        <w:t>As with all S8 prescriptions, t</w:t>
      </w:r>
      <w:r>
        <w:t>he pharmacist must</w:t>
      </w:r>
      <w:r w:rsidR="0040574F">
        <w:t xml:space="preserve"> verify </w:t>
      </w:r>
      <w:r w:rsidR="009D1044">
        <w:t>the authenticity of the</w:t>
      </w:r>
      <w:r>
        <w:t xml:space="preserve"> prescription, </w:t>
      </w:r>
      <w:r w:rsidR="009D1044">
        <w:t xml:space="preserve">the </w:t>
      </w:r>
      <w:r>
        <w:t>identity of the per</w:t>
      </w:r>
      <w:r w:rsidR="00613523">
        <w:t>son presenting the prescription</w:t>
      </w:r>
      <w:r>
        <w:t xml:space="preserve"> and </w:t>
      </w:r>
      <w:r w:rsidR="009D1044">
        <w:t xml:space="preserve">the </w:t>
      </w:r>
      <w:r>
        <w:t xml:space="preserve">bona fides </w:t>
      </w:r>
      <w:r w:rsidR="00002EA5">
        <w:t>of the prescriber</w:t>
      </w:r>
      <w:r w:rsidR="009D1044">
        <w:t>.</w:t>
      </w:r>
    </w:p>
    <w:p w14:paraId="794D9387" w14:textId="2B935DCF" w:rsidR="00D64DA0" w:rsidRPr="005E245C" w:rsidRDefault="00D64DA0" w:rsidP="00D64DA0">
      <w:pPr>
        <w:pStyle w:val="ListParagraph"/>
        <w:numPr>
          <w:ilvl w:val="0"/>
          <w:numId w:val="7"/>
        </w:numPr>
        <w:ind w:left="714" w:hanging="357"/>
        <w:contextualSpacing w:val="0"/>
        <w:rPr>
          <w:rFonts w:cs="Arial"/>
        </w:rPr>
      </w:pPr>
      <w:r>
        <w:rPr>
          <w:rFonts w:cs="Arial"/>
        </w:rPr>
        <w:t>Where</w:t>
      </w:r>
      <w:r w:rsidRPr="005E245C">
        <w:rPr>
          <w:rFonts w:cs="Arial"/>
        </w:rPr>
        <w:t xml:space="preserve"> the prescriber’s practice address is not in WA</w:t>
      </w:r>
      <w:r>
        <w:rPr>
          <w:rFonts w:cs="Arial"/>
        </w:rPr>
        <w:t xml:space="preserve">, pharmacists should not dispense the prescription and should contact the </w:t>
      </w:r>
      <w:r w:rsidRPr="005E245C">
        <w:rPr>
          <w:rFonts w:cs="Arial"/>
        </w:rPr>
        <w:t>Medicines and Poisons Regulation Branch for advice</w:t>
      </w:r>
      <w:r>
        <w:rPr>
          <w:rFonts w:cs="Arial"/>
        </w:rPr>
        <w:t>.</w:t>
      </w:r>
    </w:p>
    <w:p w14:paraId="299042A9" w14:textId="25A779B6" w:rsidR="0093743B" w:rsidRPr="006C4E78" w:rsidRDefault="00D64DA0" w:rsidP="005E245C">
      <w:pPr>
        <w:pStyle w:val="ListParagraph"/>
        <w:numPr>
          <w:ilvl w:val="0"/>
          <w:numId w:val="7"/>
        </w:numPr>
        <w:ind w:left="714" w:hanging="357"/>
        <w:contextualSpacing w:val="0"/>
      </w:pPr>
      <w:r>
        <w:t>Cannabis based products are available from wholesalers approved by the Commonwealth Office of Drug Control (ODC)</w:t>
      </w:r>
      <w:r w:rsidR="0093743B" w:rsidRPr="006C4E78">
        <w:t xml:space="preserve">. </w:t>
      </w:r>
      <w:hyperlink r:id="rId15" w:history="1">
        <w:r w:rsidR="0093743B" w:rsidRPr="005E245C">
          <w:rPr>
            <w:rStyle w:val="Hyperlink"/>
            <w:szCs w:val="24"/>
          </w:rPr>
          <w:t>Details of manufacturers and wholesale suppliers</w:t>
        </w:r>
      </w:hyperlink>
      <w:r w:rsidR="0093743B" w:rsidRPr="005E245C">
        <w:rPr>
          <w:rStyle w:val="Hyperlink"/>
          <w:szCs w:val="24"/>
        </w:rPr>
        <w:t xml:space="preserve"> </w:t>
      </w:r>
      <w:r>
        <w:t xml:space="preserve"> </w:t>
      </w:r>
      <w:r w:rsidR="0093743B">
        <w:t>are available</w:t>
      </w:r>
      <w:r>
        <w:t xml:space="preserve"> on ODC </w:t>
      </w:r>
      <w:r w:rsidR="0093743B">
        <w:t>website.</w:t>
      </w:r>
    </w:p>
    <w:p w14:paraId="6428B5D9" w14:textId="3BE3A4E5" w:rsidR="00613523" w:rsidRDefault="003D7BE7" w:rsidP="00D64DA0">
      <w:pPr>
        <w:pStyle w:val="ListParagraph"/>
        <w:numPr>
          <w:ilvl w:val="0"/>
          <w:numId w:val="7"/>
        </w:numPr>
        <w:ind w:left="714" w:hanging="357"/>
        <w:contextualSpacing w:val="0"/>
      </w:pPr>
      <w:r>
        <w:t>For unregistered</w:t>
      </w:r>
      <w:r w:rsidR="0093743B" w:rsidRPr="006C4E78">
        <w:t xml:space="preserve"> medicinal cannabis products, </w:t>
      </w:r>
      <w:r w:rsidR="00613523">
        <w:t>the pharmacy will need to provide the wholesaler with a copy of the</w:t>
      </w:r>
      <w:r w:rsidR="009D1044">
        <w:t xml:space="preserve"> TGA approval (SASA or AP)</w:t>
      </w:r>
      <w:r w:rsidR="00613523">
        <w:t>,</w:t>
      </w:r>
      <w:r w:rsidR="009D1044">
        <w:t xml:space="preserve"> before the wholesaler can release the product. Prescribers will usually provide a copy of the TGA approval to the patient with their prescription. If not, the pharmacy will need to con</w:t>
      </w:r>
      <w:r w:rsidR="00613523">
        <w:t>tact the prescriber for a copy. Note: the TGA approval maintains the patient’s privacy by only using patient initials.</w:t>
      </w:r>
    </w:p>
    <w:p w14:paraId="55007355" w14:textId="37BE4F39" w:rsidR="009D1044" w:rsidRDefault="00613523" w:rsidP="00D64DA0">
      <w:pPr>
        <w:pStyle w:val="ListParagraph"/>
        <w:numPr>
          <w:ilvl w:val="0"/>
          <w:numId w:val="7"/>
        </w:numPr>
        <w:ind w:left="714" w:hanging="357"/>
        <w:contextualSpacing w:val="0"/>
      </w:pPr>
      <w:r>
        <w:t>The pharmacist is not required to check whether the prescriber has an approval from the WA Department of Health. If this approval is provided, it must not be sent to the wholesaler as it includes the patient’s identity. Similarly, wholesalers should not be provided with a copy of the prescription.</w:t>
      </w:r>
    </w:p>
    <w:p w14:paraId="7F6A21F7" w14:textId="4F4EEB1B" w:rsidR="0093743B" w:rsidRDefault="00D64DA0" w:rsidP="00D64DA0">
      <w:pPr>
        <w:pStyle w:val="ListParagraph"/>
        <w:numPr>
          <w:ilvl w:val="0"/>
          <w:numId w:val="7"/>
        </w:numPr>
        <w:ind w:left="714" w:hanging="357"/>
        <w:contextualSpacing w:val="0"/>
      </w:pPr>
      <w:r w:rsidRPr="006C4E78">
        <w:lastRenderedPageBreak/>
        <w:t xml:space="preserve">A pharmacy cannot hold stock of any unregistered cannabis </w:t>
      </w:r>
      <w:r>
        <w:t>based product</w:t>
      </w:r>
      <w:r w:rsidR="00A32CE4">
        <w:t xml:space="preserve"> in anticipation of receiving a patient specific TGA approval. Pharmacies can only order stock once details of the TGA approval for each patient are known.</w:t>
      </w:r>
    </w:p>
    <w:p w14:paraId="7B010A94" w14:textId="787A4B7A" w:rsidR="0028084E" w:rsidRPr="006C4E78" w:rsidRDefault="0028084E" w:rsidP="0028084E">
      <w:pPr>
        <w:pStyle w:val="Heading2"/>
      </w:pPr>
      <w:r>
        <w:t>Storage and record keeping</w:t>
      </w:r>
    </w:p>
    <w:p w14:paraId="19D21546" w14:textId="23D06A57" w:rsidR="0093743B" w:rsidRDefault="0093743B" w:rsidP="005E245C">
      <w:pPr>
        <w:pStyle w:val="ListParagraph"/>
        <w:numPr>
          <w:ilvl w:val="0"/>
          <w:numId w:val="7"/>
        </w:numPr>
        <w:ind w:left="714" w:hanging="357"/>
        <w:contextualSpacing w:val="0"/>
      </w:pPr>
      <w:r w:rsidRPr="006C4E78">
        <w:t xml:space="preserve">Pharmacies are required to </w:t>
      </w:r>
      <w:r>
        <w:t>store cannabis based products</w:t>
      </w:r>
      <w:r w:rsidRPr="006C4E78">
        <w:t xml:space="preserve"> and maintain records in the same way as for other </w:t>
      </w:r>
      <w:r w:rsidR="005B5BC8">
        <w:t xml:space="preserve">S4 and </w:t>
      </w:r>
      <w:r w:rsidR="00B81149">
        <w:t>S8</w:t>
      </w:r>
      <w:r w:rsidRPr="006C4E78">
        <w:t xml:space="preserve"> medicines</w:t>
      </w:r>
      <w:r>
        <w:t>.</w:t>
      </w:r>
      <w:r w:rsidR="005B5BC8">
        <w:t xml:space="preserve"> Dispensing records for </w:t>
      </w:r>
      <w:proofErr w:type="spellStart"/>
      <w:r w:rsidR="005B5BC8">
        <w:t>cannabidiol</w:t>
      </w:r>
      <w:proofErr w:type="spellEnd"/>
      <w:r w:rsidR="005B5BC8">
        <w:t xml:space="preserve"> only products </w:t>
      </w:r>
      <w:r w:rsidR="00BE1772">
        <w:t xml:space="preserve">in S4 </w:t>
      </w:r>
      <w:r w:rsidR="005277D8">
        <w:t>are not to</w:t>
      </w:r>
      <w:r w:rsidR="005B5BC8">
        <w:t xml:space="preserve"> be included in the monthly S8 report to the Department.</w:t>
      </w:r>
    </w:p>
    <w:p w14:paraId="5C468C04" w14:textId="484BC979" w:rsidR="0067563E" w:rsidRDefault="00613523" w:rsidP="00F07028">
      <w:pPr>
        <w:pStyle w:val="ListParagraph"/>
        <w:numPr>
          <w:ilvl w:val="0"/>
          <w:numId w:val="7"/>
        </w:numPr>
        <w:contextualSpacing w:val="0"/>
      </w:pPr>
      <w:r>
        <w:t>Some m</w:t>
      </w:r>
      <w:r w:rsidR="0067563E">
        <w:t>edicinal cannabis</w:t>
      </w:r>
      <w:r>
        <w:t xml:space="preserve"> products require refrigeration. Refrigerated storage for medicinal cannabis</w:t>
      </w:r>
      <w:r w:rsidR="000E7848">
        <w:t xml:space="preserve"> must be </w:t>
      </w:r>
      <w:r w:rsidR="00AC784C">
        <w:t>a</w:t>
      </w:r>
      <w:r>
        <w:t xml:space="preserve">pproved by the Department as an alternate storage </w:t>
      </w:r>
      <w:r w:rsidR="00AC784C">
        <w:t>arrangement</w:t>
      </w:r>
      <w:r>
        <w:t xml:space="preserve"> for Schedule 8 medicines.</w:t>
      </w:r>
      <w:r w:rsidR="00F07028">
        <w:t xml:space="preserve"> Contact the </w:t>
      </w:r>
      <w:hyperlink r:id="rId16" w:history="1">
        <w:r w:rsidR="00F07028">
          <w:rPr>
            <w:rStyle w:val="Hyperlink"/>
          </w:rPr>
          <w:t>Medicines and Poisons Regulation Branch</w:t>
        </w:r>
      </w:hyperlink>
      <w:r w:rsidR="00F07028">
        <w:t xml:space="preserve"> to apply for refrigerated Schedule 8 medicines storage. </w:t>
      </w:r>
    </w:p>
    <w:p w14:paraId="71482F9A" w14:textId="7726A60C" w:rsidR="00392D98" w:rsidRPr="00E138CE" w:rsidRDefault="00613523" w:rsidP="0030670D">
      <w:pPr>
        <w:pStyle w:val="ListParagraph"/>
        <w:numPr>
          <w:ilvl w:val="0"/>
          <w:numId w:val="7"/>
        </w:numPr>
        <w:ind w:left="714" w:hanging="357"/>
        <w:contextualSpacing w:val="0"/>
      </w:pPr>
      <w:r>
        <w:t>When applying for approval of refrigerated storage for medicinal cannabis products, pharmacies need to consider how the proposed storage arrangements will provide sufficient security.</w:t>
      </w:r>
      <w:r w:rsidR="0030670D">
        <w:t xml:space="preserve"> A number of general principles should be applied as follows:</w:t>
      </w:r>
    </w:p>
    <w:tbl>
      <w:tblPr>
        <w:tblStyle w:val="TableGrid"/>
        <w:tblW w:w="0" w:type="auto"/>
        <w:tblInd w:w="817" w:type="dxa"/>
        <w:tblLook w:val="04A0" w:firstRow="1" w:lastRow="0" w:firstColumn="1" w:lastColumn="0" w:noHBand="0" w:noVBand="1"/>
      </w:tblPr>
      <w:tblGrid>
        <w:gridCol w:w="4111"/>
        <w:gridCol w:w="5670"/>
      </w:tblGrid>
      <w:tr w:rsidR="00C8132D" w14:paraId="63675260" w14:textId="77777777" w:rsidTr="0028084E">
        <w:tc>
          <w:tcPr>
            <w:tcW w:w="4111" w:type="dxa"/>
          </w:tcPr>
          <w:p w14:paraId="369B7905" w14:textId="698793B4" w:rsidR="00C8132D" w:rsidRPr="00FB567B" w:rsidRDefault="00C8132D" w:rsidP="00392D98">
            <w:pPr>
              <w:pStyle w:val="Default"/>
              <w:rPr>
                <w:b/>
              </w:rPr>
            </w:pPr>
            <w:r w:rsidRPr="00FB567B">
              <w:rPr>
                <w:b/>
              </w:rPr>
              <w:t>Principle</w:t>
            </w:r>
          </w:p>
        </w:tc>
        <w:tc>
          <w:tcPr>
            <w:tcW w:w="5670" w:type="dxa"/>
          </w:tcPr>
          <w:p w14:paraId="057E9002" w14:textId="7CCB6768" w:rsidR="00C8132D" w:rsidRPr="00FB567B" w:rsidRDefault="00C8132D" w:rsidP="00C8132D">
            <w:pPr>
              <w:pStyle w:val="Default"/>
              <w:rPr>
                <w:b/>
              </w:rPr>
            </w:pPr>
            <w:r w:rsidRPr="00FB567B">
              <w:rPr>
                <w:b/>
              </w:rPr>
              <w:t>Example</w:t>
            </w:r>
          </w:p>
        </w:tc>
      </w:tr>
      <w:tr w:rsidR="00C8132D" w14:paraId="685B827E" w14:textId="77777777" w:rsidTr="0028084E">
        <w:trPr>
          <w:trHeight w:val="907"/>
        </w:trPr>
        <w:tc>
          <w:tcPr>
            <w:tcW w:w="4111" w:type="dxa"/>
          </w:tcPr>
          <w:p w14:paraId="0DD008D1" w14:textId="20BCFEEA" w:rsidR="00C8132D" w:rsidRDefault="00C8132D" w:rsidP="0030670D">
            <w:pPr>
              <w:pStyle w:val="Default"/>
            </w:pPr>
            <w:r w:rsidRPr="00C8132D">
              <w:rPr>
                <w:b/>
              </w:rPr>
              <w:t>Deter:</w:t>
            </w:r>
            <w:r>
              <w:t xml:space="preserve"> to discourage a person from attempting to breach the security </w:t>
            </w:r>
            <w:r w:rsidR="00FB567B">
              <w:t>measures</w:t>
            </w:r>
          </w:p>
        </w:tc>
        <w:tc>
          <w:tcPr>
            <w:tcW w:w="5670" w:type="dxa"/>
          </w:tcPr>
          <w:p w14:paraId="00EEE889" w14:textId="1CDF9DFB" w:rsidR="00E93856" w:rsidRDefault="00B70EC4" w:rsidP="0028084E">
            <w:pPr>
              <w:pStyle w:val="Default"/>
            </w:pPr>
            <w:r>
              <w:t xml:space="preserve">24 hour Closed Circuit Television (CCTV) surveillance, particularly monitoring access to the </w:t>
            </w:r>
            <w:r w:rsidR="0030670D">
              <w:t>refrigerator in which medicinal cannabis is stored</w:t>
            </w:r>
            <w:r>
              <w:t>.</w:t>
            </w:r>
          </w:p>
        </w:tc>
      </w:tr>
      <w:tr w:rsidR="00C8132D" w14:paraId="6029AE04" w14:textId="77777777" w:rsidTr="0028084E">
        <w:trPr>
          <w:trHeight w:val="1587"/>
        </w:trPr>
        <w:tc>
          <w:tcPr>
            <w:tcW w:w="4111" w:type="dxa"/>
          </w:tcPr>
          <w:p w14:paraId="19AA1ADB" w14:textId="26E128BE" w:rsidR="00C8132D" w:rsidRDefault="00C8132D" w:rsidP="00FB567B">
            <w:pPr>
              <w:pStyle w:val="Default"/>
            </w:pPr>
            <w:r w:rsidRPr="00C8132D">
              <w:rPr>
                <w:b/>
              </w:rPr>
              <w:t>Delay:</w:t>
            </w:r>
            <w:r>
              <w:t xml:space="preserve"> making the breach of se</w:t>
            </w:r>
            <w:r w:rsidR="00FB567B">
              <w:t xml:space="preserve">curity more difficult or slower, thereby </w:t>
            </w:r>
            <w:r>
              <w:t>allowing</w:t>
            </w:r>
            <w:r w:rsidR="00FB567B">
              <w:t xml:space="preserve"> a response to occur</w:t>
            </w:r>
            <w:r>
              <w:t xml:space="preserve"> </w:t>
            </w:r>
          </w:p>
        </w:tc>
        <w:tc>
          <w:tcPr>
            <w:tcW w:w="5670" w:type="dxa"/>
          </w:tcPr>
          <w:p w14:paraId="7A0AE80D" w14:textId="77777777" w:rsidR="0030670D" w:rsidRDefault="0030670D" w:rsidP="0028084E">
            <w:pPr>
              <w:pStyle w:val="Default"/>
              <w:spacing w:after="120"/>
            </w:pPr>
            <w:r>
              <w:t>Refrigerator</w:t>
            </w:r>
            <w:r w:rsidR="00B70EC4">
              <w:t xml:space="preserve"> is</w:t>
            </w:r>
            <w:r>
              <w:t xml:space="preserve"> locked.</w:t>
            </w:r>
          </w:p>
          <w:p w14:paraId="2DD504E6" w14:textId="613317CE" w:rsidR="00C8132D" w:rsidRDefault="0030670D" w:rsidP="0030670D">
            <w:pPr>
              <w:pStyle w:val="Default"/>
            </w:pPr>
            <w:r>
              <w:t xml:space="preserve">Refrigerator is </w:t>
            </w:r>
            <w:r w:rsidR="00B70EC4">
              <w:t>securely fixed or tethe</w:t>
            </w:r>
            <w:r w:rsidR="00E138CE">
              <w:t xml:space="preserve">red </w:t>
            </w:r>
            <w:r>
              <w:t xml:space="preserve">to the floor/wall or is </w:t>
            </w:r>
            <w:r w:rsidR="00B70EC4">
              <w:t>inside a lo</w:t>
            </w:r>
            <w:r w:rsidR="00E138CE">
              <w:t>ckable room within the premises with restricted access and not visible to the public.</w:t>
            </w:r>
          </w:p>
        </w:tc>
      </w:tr>
      <w:tr w:rsidR="00C8132D" w14:paraId="42723F4F" w14:textId="77777777" w:rsidTr="0028084E">
        <w:trPr>
          <w:trHeight w:val="680"/>
        </w:trPr>
        <w:tc>
          <w:tcPr>
            <w:tcW w:w="4111" w:type="dxa"/>
          </w:tcPr>
          <w:p w14:paraId="3A05ADB7" w14:textId="0F753442" w:rsidR="00C8132D" w:rsidRDefault="00C8132D" w:rsidP="00392D98">
            <w:pPr>
              <w:pStyle w:val="Default"/>
            </w:pPr>
            <w:r w:rsidRPr="00C8132D">
              <w:rPr>
                <w:b/>
              </w:rPr>
              <w:t>Deny:</w:t>
            </w:r>
            <w:r>
              <w:t xml:space="preserve"> allowing access only to those who require it </w:t>
            </w:r>
          </w:p>
        </w:tc>
        <w:tc>
          <w:tcPr>
            <w:tcW w:w="5670" w:type="dxa"/>
          </w:tcPr>
          <w:p w14:paraId="06E60C4B" w14:textId="6B73736D" w:rsidR="00C8132D" w:rsidRDefault="0030670D" w:rsidP="0030670D">
            <w:pPr>
              <w:pStyle w:val="Default"/>
            </w:pPr>
            <w:r>
              <w:t>Access restricted to pharmacists only.</w:t>
            </w:r>
          </w:p>
        </w:tc>
      </w:tr>
      <w:tr w:rsidR="00C8132D" w14:paraId="08782EEC" w14:textId="77777777" w:rsidTr="0028084E">
        <w:trPr>
          <w:trHeight w:val="1020"/>
        </w:trPr>
        <w:tc>
          <w:tcPr>
            <w:tcW w:w="4111" w:type="dxa"/>
          </w:tcPr>
          <w:p w14:paraId="33F39E07" w14:textId="79B97073" w:rsidR="00C8132D" w:rsidRDefault="00C8132D" w:rsidP="00392D98">
            <w:pPr>
              <w:pStyle w:val="Default"/>
            </w:pPr>
            <w:r w:rsidRPr="00C8132D">
              <w:rPr>
                <w:b/>
              </w:rPr>
              <w:t>Detect:</w:t>
            </w:r>
            <w:r>
              <w:t xml:space="preserve"> allowing early detection of security breaches</w:t>
            </w:r>
          </w:p>
        </w:tc>
        <w:tc>
          <w:tcPr>
            <w:tcW w:w="5670" w:type="dxa"/>
          </w:tcPr>
          <w:p w14:paraId="568B16B7" w14:textId="77777777" w:rsidR="0028084E" w:rsidRDefault="0028084E" w:rsidP="0028084E">
            <w:pPr>
              <w:pStyle w:val="Default"/>
              <w:spacing w:after="120"/>
            </w:pPr>
            <w:r>
              <w:t xml:space="preserve">Movement detectors linked to </w:t>
            </w:r>
            <w:proofErr w:type="spellStart"/>
            <w:r>
              <w:t xml:space="preserve">after </w:t>
            </w:r>
            <w:proofErr w:type="gramStart"/>
            <w:r>
              <w:t>hours</w:t>
            </w:r>
            <w:proofErr w:type="spellEnd"/>
            <w:proofErr w:type="gramEnd"/>
            <w:r>
              <w:t xml:space="preserve"> security system, with immediate </w:t>
            </w:r>
            <w:proofErr w:type="spellStart"/>
            <w:r>
              <w:t>keyholder</w:t>
            </w:r>
            <w:proofErr w:type="spellEnd"/>
            <w:r>
              <w:t xml:space="preserve"> notification. </w:t>
            </w:r>
          </w:p>
          <w:p w14:paraId="240254B3" w14:textId="24142585" w:rsidR="0075040C" w:rsidRDefault="0028084E" w:rsidP="0028084E">
            <w:pPr>
              <w:pStyle w:val="Default"/>
            </w:pPr>
            <w:r>
              <w:t>Regular review of CCTV footage.</w:t>
            </w:r>
          </w:p>
        </w:tc>
      </w:tr>
      <w:tr w:rsidR="00C8132D" w14:paraId="3FED7AAA" w14:textId="77777777" w:rsidTr="0028084E">
        <w:trPr>
          <w:trHeight w:val="624"/>
        </w:trPr>
        <w:tc>
          <w:tcPr>
            <w:tcW w:w="4111" w:type="dxa"/>
          </w:tcPr>
          <w:p w14:paraId="05ACC9B0" w14:textId="48A350FA" w:rsidR="00C8132D" w:rsidRDefault="00C8132D" w:rsidP="00392D98">
            <w:pPr>
              <w:pStyle w:val="Default"/>
            </w:pPr>
            <w:r w:rsidRPr="00C8132D">
              <w:rPr>
                <w:b/>
              </w:rPr>
              <w:t>Defend:</w:t>
            </w:r>
            <w:r>
              <w:t xml:space="preserve"> actions taken </w:t>
            </w:r>
            <w:r w:rsidR="00FB567B">
              <w:t>to respond to a security breach</w:t>
            </w:r>
          </w:p>
        </w:tc>
        <w:tc>
          <w:tcPr>
            <w:tcW w:w="5670" w:type="dxa"/>
          </w:tcPr>
          <w:p w14:paraId="50C21005" w14:textId="33F01843" w:rsidR="00C8132D" w:rsidRDefault="0028084E" w:rsidP="0028084E">
            <w:pPr>
              <w:pStyle w:val="Default"/>
            </w:pPr>
            <w:r>
              <w:t>Policies and procedures to be followed if there is a breach of security.</w:t>
            </w:r>
          </w:p>
        </w:tc>
      </w:tr>
    </w:tbl>
    <w:p w14:paraId="01BDF727" w14:textId="52B1FADB" w:rsidR="0093743B" w:rsidRDefault="0093743B" w:rsidP="005E245C">
      <w:pPr>
        <w:pStyle w:val="Heading3"/>
      </w:pPr>
      <w:r w:rsidRPr="006C4E78">
        <w:t>More information</w:t>
      </w:r>
    </w:p>
    <w:p w14:paraId="322E432E" w14:textId="1E7D0FB6" w:rsidR="00B87120" w:rsidRDefault="0093743B" w:rsidP="005E245C">
      <w:pPr>
        <w:rPr>
          <w:lang w:val="en"/>
        </w:rPr>
      </w:pPr>
      <w:r w:rsidRPr="003B4253">
        <w:rPr>
          <w:lang w:val="en"/>
        </w:rPr>
        <w:t>Medicines and Poisons Regulation Branch</w:t>
      </w:r>
      <w:r w:rsidRPr="003B4253">
        <w:rPr>
          <w:lang w:val="en"/>
        </w:rPr>
        <w:br/>
        <w:t>PO Box 8172, Perth Business Centre, WA 6849</w:t>
      </w:r>
      <w:r w:rsidRPr="003B4253">
        <w:rPr>
          <w:lang w:val="en"/>
        </w:rPr>
        <w:br/>
        <w:t>Phone: 9222 6883</w:t>
      </w:r>
      <w:r w:rsidRPr="003B4253">
        <w:rPr>
          <w:lang w:val="en"/>
        </w:rPr>
        <w:br/>
        <w:t>Email:</w:t>
      </w:r>
      <w:r w:rsidR="005E245C">
        <w:rPr>
          <w:lang w:val="en"/>
        </w:rPr>
        <w:t xml:space="preserve"> </w:t>
      </w:r>
      <w:hyperlink r:id="rId17" w:history="1">
        <w:r w:rsidR="005E245C" w:rsidRPr="0053019D">
          <w:rPr>
            <w:rStyle w:val="Hyperlink"/>
            <w:lang w:val="en"/>
          </w:rPr>
          <w:t>MPRB@health.wa.gov.au</w:t>
        </w:r>
      </w:hyperlink>
      <w:r w:rsidR="005E245C">
        <w:rPr>
          <w:lang w:val="en"/>
        </w:rPr>
        <w:t xml:space="preserve"> </w:t>
      </w:r>
    </w:p>
    <w:p w14:paraId="2A3ED598" w14:textId="5477818C" w:rsidR="004C2780" w:rsidRPr="001F6030" w:rsidRDefault="00B87120" w:rsidP="002E5F5B">
      <w:r>
        <w:rPr>
          <w:lang w:val="en"/>
        </w:rPr>
        <w:t>Information prepared: October 2019</w:t>
      </w:r>
      <w:r w:rsidR="0017400D">
        <w:rPr>
          <w:lang w:val="en"/>
        </w:rPr>
        <w:t>, updated January 2020</w:t>
      </w:r>
    </w:p>
    <w:sectPr w:rsidR="004C2780" w:rsidRPr="001F6030" w:rsidSect="00741450">
      <w:footerReference w:type="default" r:id="rId18"/>
      <w:headerReference w:type="first" r:id="rId19"/>
      <w:footerReference w:type="first" r:id="rId20"/>
      <w:pgSz w:w="11906" w:h="16838" w:code="9"/>
      <w:pgMar w:top="709" w:right="680" w:bottom="1843" w:left="680" w:header="392" w:footer="4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017B27" w14:textId="77777777" w:rsidR="009C4DF4" w:rsidRDefault="009C4DF4" w:rsidP="0013662A">
      <w:pPr>
        <w:spacing w:after="0"/>
      </w:pPr>
      <w:r>
        <w:separator/>
      </w:r>
    </w:p>
  </w:endnote>
  <w:endnote w:type="continuationSeparator" w:id="0">
    <w:p w14:paraId="10D84275" w14:textId="77777777" w:rsidR="009C4DF4" w:rsidRDefault="009C4DF4" w:rsidP="001366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Std">
    <w:panose1 w:val="00000000000000000000"/>
    <w:charset w:val="00"/>
    <w:family w:val="swiss"/>
    <w:notTrueType/>
    <w:pitch w:val="variable"/>
    <w:sig w:usb0="800000AF" w:usb1="4000204A" w:usb2="00000000" w:usb3="00000000" w:csb0="00000001" w:csb1="00000000"/>
  </w:font>
  <w:font w:name="ArialMTStd">
    <w:altName w:val="Arial Unicode MS"/>
    <w:panose1 w:val="00000000000000000000"/>
    <w:charset w:val="80"/>
    <w:family w:val="swiss"/>
    <w:notTrueType/>
    <w:pitch w:val="default"/>
    <w:sig w:usb0="00000000" w:usb1="08070000" w:usb2="00000010" w:usb3="00000000" w:csb0="00020001" w:csb1="00000000"/>
  </w:font>
  <w:font w:name="ArialMTStd-Italic">
    <w:altName w:val="Genev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ED59F" w14:textId="21892FFA" w:rsidR="009B0844" w:rsidRPr="004F64F7" w:rsidRDefault="009B0844" w:rsidP="009B0844">
    <w:pPr>
      <w:spacing w:after="240"/>
    </w:pPr>
    <w:r w:rsidRPr="00AF7C07">
      <w:rPr>
        <w:b/>
      </w:rPr>
      <w:t xml:space="preserve">This document can be made available in alternative formats </w:t>
    </w:r>
    <w:r w:rsidR="00CE4DD9">
      <w:rPr>
        <w:b/>
      </w:rPr>
      <w:br/>
      <w:t xml:space="preserve">on request for a person with </w:t>
    </w:r>
    <w:r w:rsidRPr="00AF7C07">
      <w:rPr>
        <w:b/>
      </w:rPr>
      <w:t>disability.</w:t>
    </w:r>
    <w:r w:rsidR="004F64F7">
      <w:rPr>
        <w:b/>
      </w:rPr>
      <w:tab/>
    </w:r>
    <w:r w:rsidR="004F64F7">
      <w:rPr>
        <w:b/>
      </w:rPr>
      <w:tab/>
    </w:r>
    <w:r w:rsidR="004F64F7">
      <w:rPr>
        <w:b/>
      </w:rPr>
      <w:tab/>
    </w:r>
    <w:r w:rsidR="004F64F7">
      <w:rPr>
        <w:b/>
      </w:rPr>
      <w:tab/>
    </w:r>
    <w:r w:rsidR="004F64F7">
      <w:rPr>
        <w:b/>
      </w:rPr>
      <w:tab/>
    </w:r>
    <w:r w:rsidR="004F64F7">
      <w:rPr>
        <w:b/>
      </w:rPr>
      <w:tab/>
    </w:r>
    <w:r w:rsidR="004F64F7">
      <w:rPr>
        <w:b/>
      </w:rPr>
      <w:tab/>
    </w:r>
    <w:r w:rsidR="004F64F7" w:rsidRPr="004F64F7">
      <w:rPr>
        <w:sz w:val="20"/>
        <w:szCs w:val="20"/>
      </w:rPr>
      <w:t>D00110</w:t>
    </w:r>
    <w:r w:rsidR="0017400D">
      <w:rPr>
        <w:sz w:val="20"/>
        <w:szCs w:val="20"/>
      </w:rPr>
      <w:t>.1</w:t>
    </w:r>
  </w:p>
  <w:p w14:paraId="2A3ED5A0" w14:textId="6B1D0C8E" w:rsidR="009B0844" w:rsidRDefault="009B0844" w:rsidP="009B0844">
    <w:pPr>
      <w:spacing w:after="300"/>
      <w:ind w:right="-1"/>
    </w:pPr>
    <w:r>
      <w:t>© Department</w:t>
    </w:r>
    <w:r w:rsidR="0017400D">
      <w:t xml:space="preserve"> of Health 2020</w:t>
    </w:r>
  </w:p>
  <w:p w14:paraId="2A3ED5A1" w14:textId="77777777" w:rsidR="009B0844" w:rsidRDefault="009B0844" w:rsidP="00483052">
    <w:pPr>
      <w:pStyle w:val="TEXT"/>
      <w:spacing w:after="240" w:line="240" w:lineRule="auto"/>
      <w:rPr>
        <w:rFonts w:ascii="Arial" w:hAnsi="Arial"/>
        <w:sz w:val="22"/>
        <w:szCs w:val="22"/>
      </w:rPr>
    </w:pPr>
    <w:r w:rsidRPr="0000010A">
      <w:rPr>
        <w:rFonts w:ascii="Arial" w:hAnsi="Arial"/>
        <w:sz w:val="22"/>
        <w:szCs w:val="22"/>
      </w:rPr>
      <w:t>Copyright to this material is vested in the State of Western Australia unless otherwise indicated. Apart from any fair dealing for the purposes of priv</w:t>
    </w:r>
    <w:r>
      <w:rPr>
        <w:rFonts w:ascii="Arial" w:hAnsi="Arial"/>
        <w:sz w:val="22"/>
        <w:szCs w:val="22"/>
      </w:rPr>
      <w:t xml:space="preserve">ate study, research, criticism </w:t>
    </w:r>
    <w:r w:rsidRPr="0000010A">
      <w:rPr>
        <w:rFonts w:ascii="Arial" w:hAnsi="Arial"/>
        <w:sz w:val="22"/>
        <w:szCs w:val="22"/>
      </w:rPr>
      <w:t xml:space="preserve">or review, as permitted under the provisions of the </w:t>
    </w:r>
    <w:r w:rsidRPr="0000010A">
      <w:rPr>
        <w:rFonts w:ascii="Arial" w:hAnsi="Arial" w:cs="ArialMTStd-Italic"/>
        <w:i/>
        <w:iCs/>
        <w:sz w:val="22"/>
        <w:szCs w:val="22"/>
      </w:rPr>
      <w:t>Copyright Act 1968</w:t>
    </w:r>
    <w:r w:rsidRPr="0000010A">
      <w:rPr>
        <w:rFonts w:ascii="Arial" w:hAnsi="Arial"/>
        <w:sz w:val="22"/>
        <w:szCs w:val="22"/>
      </w:rPr>
      <w:t>, no part may be reproduced or re-used for any purposes whatsoever without written permission of the State of Western Australia.</w:t>
    </w:r>
  </w:p>
  <w:p w14:paraId="2A3ED5A2" w14:textId="77777777" w:rsidR="00521D1A" w:rsidRPr="00483052" w:rsidRDefault="000244A9" w:rsidP="00483052">
    <w:pPr>
      <w:pStyle w:val="TEXT"/>
      <w:spacing w:line="240" w:lineRule="auto"/>
      <w:rPr>
        <w:rFonts w:ascii="Arial" w:hAnsi="Arial"/>
        <w:color w:val="393C71" w:themeColor="accent1"/>
        <w:sz w:val="28"/>
        <w:szCs w:val="28"/>
      </w:rPr>
    </w:pPr>
    <w:r w:rsidRPr="00483052">
      <w:rPr>
        <w:rFonts w:ascii="Arial" w:hAnsi="Arial"/>
        <w:color w:val="393C71" w:themeColor="accent1"/>
        <w:sz w:val="28"/>
        <w:szCs w:val="28"/>
      </w:rPr>
      <w:t>health.wa.gov.au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ED5A4" w14:textId="77777777" w:rsidR="0013662A" w:rsidRPr="00232283" w:rsidRDefault="0013662A" w:rsidP="00232283">
    <w:pPr>
      <w:spacing w:after="240"/>
      <w:rPr>
        <w:b/>
        <w:color w:val="393C71" w:themeColor="accent2"/>
        <w:sz w:val="30"/>
        <w:szCs w:val="3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D6F426" w14:textId="77777777" w:rsidR="009C4DF4" w:rsidRDefault="009C4DF4" w:rsidP="0013662A">
      <w:pPr>
        <w:spacing w:after="0"/>
      </w:pPr>
      <w:r>
        <w:separator/>
      </w:r>
    </w:p>
  </w:footnote>
  <w:footnote w:type="continuationSeparator" w:id="0">
    <w:p w14:paraId="0CF1D8AB" w14:textId="77777777" w:rsidR="009C4DF4" w:rsidRDefault="009C4DF4" w:rsidP="0013662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ED5A3" w14:textId="77777777" w:rsidR="00483052" w:rsidRDefault="00483052">
    <w:pPr>
      <w:pStyle w:val="Header"/>
    </w:pPr>
    <w:r>
      <w:rPr>
        <w:noProof/>
        <w:lang w:eastAsia="en-AU"/>
      </w:rPr>
      <w:drawing>
        <wp:anchor distT="0" distB="0" distL="114300" distR="114300" simplePos="0" relativeHeight="251658240" behindDoc="1" locked="0" layoutInCell="1" allowOverlap="1" wp14:anchorId="2A3ED5A5" wp14:editId="2A3ED5A6">
          <wp:simplePos x="0" y="0"/>
          <wp:positionH relativeFrom="page">
            <wp:posOffset>0</wp:posOffset>
          </wp:positionH>
          <wp:positionV relativeFrom="page">
            <wp:posOffset>0</wp:posOffset>
          </wp:positionV>
          <wp:extent cx="7558768" cy="10691999"/>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er_base_315.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D443B"/>
    <w:multiLevelType w:val="hybridMultilevel"/>
    <w:tmpl w:val="C9208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9026565"/>
    <w:multiLevelType w:val="hybridMultilevel"/>
    <w:tmpl w:val="B21C4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AA207A7"/>
    <w:multiLevelType w:val="multilevel"/>
    <w:tmpl w:val="A08E0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412201"/>
    <w:multiLevelType w:val="hybridMultilevel"/>
    <w:tmpl w:val="732CD7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D506E30"/>
    <w:multiLevelType w:val="hybridMultilevel"/>
    <w:tmpl w:val="EB886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0E54B0A"/>
    <w:multiLevelType w:val="hybridMultilevel"/>
    <w:tmpl w:val="9DB47F5A"/>
    <w:lvl w:ilvl="0" w:tplc="41189A8C">
      <w:numFmt w:val="bullet"/>
      <w:lvlText w:val="-"/>
      <w:lvlJc w:val="left"/>
      <w:pPr>
        <w:ind w:left="1074" w:hanging="360"/>
      </w:pPr>
      <w:rPr>
        <w:rFonts w:ascii="Arial" w:eastAsiaTheme="minorHAnsi" w:hAnsi="Arial" w:cs="Arial"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6">
    <w:nsid w:val="49BB5A9F"/>
    <w:multiLevelType w:val="hybridMultilevel"/>
    <w:tmpl w:val="93406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C451104"/>
    <w:multiLevelType w:val="hybridMultilevel"/>
    <w:tmpl w:val="EF040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393C71"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7FF7E8E"/>
    <w:multiLevelType w:val="hybridMultilevel"/>
    <w:tmpl w:val="CEECE0FC"/>
    <w:lvl w:ilvl="0" w:tplc="BCB0646A">
      <w:start w:val="1"/>
      <w:numFmt w:val="bullet"/>
      <w:lvlText w:val=""/>
      <w:lvlJc w:val="left"/>
      <w:pPr>
        <w:ind w:left="720" w:hanging="360"/>
      </w:pPr>
      <w:rPr>
        <w:rFonts w:ascii="Symbol" w:hAnsi="Symbol" w:hint="default"/>
        <w:color w:val="393C71"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EF4582B"/>
    <w:multiLevelType w:val="hybridMultilevel"/>
    <w:tmpl w:val="09205A4E"/>
    <w:lvl w:ilvl="0" w:tplc="B5A4E788">
      <w:numFmt w:val="bullet"/>
      <w:lvlText w:val="-"/>
      <w:lvlJc w:val="left"/>
      <w:pPr>
        <w:ind w:left="720" w:hanging="360"/>
      </w:pPr>
      <w:rPr>
        <w:rFonts w:ascii="Arial" w:eastAsiaTheme="minorHAnsi" w:hAnsi="Arial" w:cs="Arial" w:hint="default"/>
        <w:b/>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3"/>
  </w:num>
  <w:num w:numId="5">
    <w:abstractNumId w:val="4"/>
  </w:num>
  <w:num w:numId="6">
    <w:abstractNumId w:val="1"/>
  </w:num>
  <w:num w:numId="7">
    <w:abstractNumId w:val="9"/>
  </w:num>
  <w:num w:numId="8">
    <w:abstractNumId w:val="2"/>
  </w:num>
  <w:num w:numId="9">
    <w:abstractNumId w:val="5"/>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drawingGridHorizontalSpacing w:val="142"/>
  <w:drawingGridVerticalSpacing w:val="14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7BD"/>
    <w:rsid w:val="00002EA5"/>
    <w:rsid w:val="000244A9"/>
    <w:rsid w:val="00073730"/>
    <w:rsid w:val="000817F3"/>
    <w:rsid w:val="00090F60"/>
    <w:rsid w:val="000E229B"/>
    <w:rsid w:val="000E7848"/>
    <w:rsid w:val="0013662A"/>
    <w:rsid w:val="001437E0"/>
    <w:rsid w:val="00171B7B"/>
    <w:rsid w:val="0017400D"/>
    <w:rsid w:val="00185053"/>
    <w:rsid w:val="00192B51"/>
    <w:rsid w:val="001C7D1F"/>
    <w:rsid w:val="001F6030"/>
    <w:rsid w:val="001F68E9"/>
    <w:rsid w:val="00220E8F"/>
    <w:rsid w:val="00232283"/>
    <w:rsid w:val="0028084E"/>
    <w:rsid w:val="002C7D7D"/>
    <w:rsid w:val="002E5F5B"/>
    <w:rsid w:val="0030336C"/>
    <w:rsid w:val="0030670D"/>
    <w:rsid w:val="00355004"/>
    <w:rsid w:val="003929E7"/>
    <w:rsid w:val="00392D98"/>
    <w:rsid w:val="003C3B58"/>
    <w:rsid w:val="003D7BE7"/>
    <w:rsid w:val="0040574F"/>
    <w:rsid w:val="00466DB9"/>
    <w:rsid w:val="00471692"/>
    <w:rsid w:val="00483052"/>
    <w:rsid w:val="00492C70"/>
    <w:rsid w:val="004A609E"/>
    <w:rsid w:val="004C2780"/>
    <w:rsid w:val="004C27CB"/>
    <w:rsid w:val="004C6976"/>
    <w:rsid w:val="004F64F7"/>
    <w:rsid w:val="00521D1A"/>
    <w:rsid w:val="005277D8"/>
    <w:rsid w:val="0056716B"/>
    <w:rsid w:val="00597A85"/>
    <w:rsid w:val="005A409E"/>
    <w:rsid w:val="005A4DC8"/>
    <w:rsid w:val="005B5BC8"/>
    <w:rsid w:val="005D455D"/>
    <w:rsid w:val="005D7C91"/>
    <w:rsid w:val="005E245C"/>
    <w:rsid w:val="00613523"/>
    <w:rsid w:val="0067563E"/>
    <w:rsid w:val="006A3E36"/>
    <w:rsid w:val="006B582F"/>
    <w:rsid w:val="006D251A"/>
    <w:rsid w:val="006F1E2D"/>
    <w:rsid w:val="006F52D0"/>
    <w:rsid w:val="00741450"/>
    <w:rsid w:val="0075040C"/>
    <w:rsid w:val="00753150"/>
    <w:rsid w:val="0077027C"/>
    <w:rsid w:val="00783784"/>
    <w:rsid w:val="00794DF0"/>
    <w:rsid w:val="007A7BA9"/>
    <w:rsid w:val="007C3222"/>
    <w:rsid w:val="007D3AE7"/>
    <w:rsid w:val="007D793C"/>
    <w:rsid w:val="00806E9D"/>
    <w:rsid w:val="00811919"/>
    <w:rsid w:val="00817F33"/>
    <w:rsid w:val="00881846"/>
    <w:rsid w:val="00882643"/>
    <w:rsid w:val="00885FFD"/>
    <w:rsid w:val="00897837"/>
    <w:rsid w:val="008C6F0A"/>
    <w:rsid w:val="008E3665"/>
    <w:rsid w:val="008F7FE4"/>
    <w:rsid w:val="009268E4"/>
    <w:rsid w:val="00930DF8"/>
    <w:rsid w:val="00933CEB"/>
    <w:rsid w:val="0093743B"/>
    <w:rsid w:val="009611AC"/>
    <w:rsid w:val="009668ED"/>
    <w:rsid w:val="00981DA1"/>
    <w:rsid w:val="00990D6C"/>
    <w:rsid w:val="009B0844"/>
    <w:rsid w:val="009C4DF4"/>
    <w:rsid w:val="009D1044"/>
    <w:rsid w:val="009D4AFC"/>
    <w:rsid w:val="009E6387"/>
    <w:rsid w:val="00A21CAF"/>
    <w:rsid w:val="00A32CE4"/>
    <w:rsid w:val="00A6427B"/>
    <w:rsid w:val="00A91C4C"/>
    <w:rsid w:val="00AA1620"/>
    <w:rsid w:val="00AA59CF"/>
    <w:rsid w:val="00AC784C"/>
    <w:rsid w:val="00AF0C79"/>
    <w:rsid w:val="00B17ECC"/>
    <w:rsid w:val="00B70EC4"/>
    <w:rsid w:val="00B81149"/>
    <w:rsid w:val="00B85FD3"/>
    <w:rsid w:val="00B86F1C"/>
    <w:rsid w:val="00B87120"/>
    <w:rsid w:val="00BA10C4"/>
    <w:rsid w:val="00BB5682"/>
    <w:rsid w:val="00BD41EB"/>
    <w:rsid w:val="00BD7C33"/>
    <w:rsid w:val="00BE1772"/>
    <w:rsid w:val="00BE3C2D"/>
    <w:rsid w:val="00C7143D"/>
    <w:rsid w:val="00C729CE"/>
    <w:rsid w:val="00C8132D"/>
    <w:rsid w:val="00CE4DD9"/>
    <w:rsid w:val="00CF2778"/>
    <w:rsid w:val="00CF3BD5"/>
    <w:rsid w:val="00CF64E2"/>
    <w:rsid w:val="00D147D4"/>
    <w:rsid w:val="00D34FC7"/>
    <w:rsid w:val="00D636EE"/>
    <w:rsid w:val="00D64DA0"/>
    <w:rsid w:val="00D9301F"/>
    <w:rsid w:val="00DD22D0"/>
    <w:rsid w:val="00DE4BFE"/>
    <w:rsid w:val="00E138CE"/>
    <w:rsid w:val="00E40563"/>
    <w:rsid w:val="00E47483"/>
    <w:rsid w:val="00E7702D"/>
    <w:rsid w:val="00E775B0"/>
    <w:rsid w:val="00E9191D"/>
    <w:rsid w:val="00E93856"/>
    <w:rsid w:val="00F07028"/>
    <w:rsid w:val="00F647BD"/>
    <w:rsid w:val="00FA5B26"/>
    <w:rsid w:val="00FB567B"/>
    <w:rsid w:val="00FF0D8D"/>
    <w:rsid w:val="00FF19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3ED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Body Text" w:uiPriority="1" w:qFormat="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2"/>
    <w:qFormat/>
    <w:rsid w:val="00A91C4C"/>
    <w:pPr>
      <w:spacing w:after="170" w:line="240" w:lineRule="auto"/>
    </w:pPr>
    <w:rPr>
      <w:rFonts w:ascii="Arial" w:hAnsi="Arial"/>
      <w:sz w:val="24"/>
    </w:rPr>
  </w:style>
  <w:style w:type="paragraph" w:styleId="Heading1">
    <w:name w:val="heading 1"/>
    <w:basedOn w:val="Normal"/>
    <w:next w:val="Normal"/>
    <w:link w:val="Heading1Char"/>
    <w:uiPriority w:val="9"/>
    <w:qFormat/>
    <w:rsid w:val="00753150"/>
    <w:pPr>
      <w:keepNext/>
      <w:keepLines/>
      <w:spacing w:before="480" w:after="480"/>
      <w:outlineLvl w:val="0"/>
    </w:pPr>
    <w:rPr>
      <w:rFonts w:eastAsiaTheme="majorEastAsia" w:cstheme="majorBidi"/>
      <w:bCs/>
      <w:color w:val="393C71" w:themeColor="accent1"/>
      <w:sz w:val="64"/>
      <w:szCs w:val="28"/>
    </w:rPr>
  </w:style>
  <w:style w:type="paragraph" w:styleId="Heading2">
    <w:name w:val="heading 2"/>
    <w:basedOn w:val="Normal"/>
    <w:next w:val="Normal"/>
    <w:link w:val="Heading2Char"/>
    <w:uiPriority w:val="9"/>
    <w:qFormat/>
    <w:rsid w:val="002E5F5B"/>
    <w:pPr>
      <w:keepNext/>
      <w:keepLines/>
      <w:spacing w:before="280" w:after="100"/>
      <w:outlineLvl w:val="1"/>
    </w:pPr>
    <w:rPr>
      <w:rFonts w:eastAsiaTheme="majorEastAsia" w:cstheme="majorBidi"/>
      <w:b/>
      <w:bCs/>
      <w:color w:val="393C71" w:themeColor="accent1"/>
      <w:sz w:val="30"/>
      <w:szCs w:val="26"/>
    </w:rPr>
  </w:style>
  <w:style w:type="paragraph" w:styleId="Heading3">
    <w:name w:val="heading 3"/>
    <w:basedOn w:val="Normal"/>
    <w:next w:val="Normal"/>
    <w:link w:val="Heading3Char"/>
    <w:uiPriority w:val="9"/>
    <w:qFormat/>
    <w:rsid w:val="0013662A"/>
    <w:pPr>
      <w:keepNext/>
      <w:keepLines/>
      <w:spacing w:before="260" w:after="100"/>
      <w:outlineLvl w:val="2"/>
    </w:pPr>
    <w:rPr>
      <w:rFonts w:eastAsiaTheme="majorEastAsia" w:cstheme="majorBidi"/>
      <w:b/>
      <w:bCs/>
      <w:color w:val="393C71" w:themeColor="accent1"/>
      <w:sz w:val="26"/>
    </w:rPr>
  </w:style>
  <w:style w:type="paragraph" w:styleId="Heading4">
    <w:name w:val="heading 4"/>
    <w:basedOn w:val="Normal"/>
    <w:next w:val="Normal"/>
    <w:link w:val="Heading4Char"/>
    <w:uiPriority w:val="9"/>
    <w:rsid w:val="00171B7B"/>
    <w:pPr>
      <w:keepNext/>
      <w:keepLines/>
      <w:spacing w:before="240" w:after="60"/>
      <w:outlineLvl w:val="3"/>
    </w:pPr>
    <w:rPr>
      <w:rFonts w:eastAsiaTheme="majorEastAsia" w:cstheme="majorBidi"/>
      <w:b/>
      <w:bCs/>
      <w:iCs/>
      <w:color w:val="464E56"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Normal"/>
    <w:rsid w:val="004C2780"/>
    <w:pPr>
      <w:spacing w:before="240" w:after="660"/>
    </w:pPr>
    <w:rPr>
      <w:b/>
      <w:color w:val="000000" w:themeColor="text1"/>
      <w:sz w:val="60"/>
    </w:rPr>
  </w:style>
  <w:style w:type="paragraph" w:styleId="ListParagraph">
    <w:name w:val="List Paragraph"/>
    <w:basedOn w:val="Normal"/>
    <w:uiPriority w:val="34"/>
    <w:semiHidden/>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basedOn w:val="DefaultParagraphFont"/>
    <w:link w:val="Heading1"/>
    <w:uiPriority w:val="9"/>
    <w:rsid w:val="00753150"/>
    <w:rPr>
      <w:rFonts w:ascii="Arial" w:eastAsiaTheme="majorEastAsia" w:hAnsi="Arial" w:cstheme="majorBidi"/>
      <w:bCs/>
      <w:color w:val="393C71" w:themeColor="accent1"/>
      <w:sz w:val="64"/>
      <w:szCs w:val="28"/>
    </w:rPr>
  </w:style>
  <w:style w:type="character" w:customStyle="1" w:styleId="Heading2Char">
    <w:name w:val="Heading 2 Char"/>
    <w:basedOn w:val="DefaultParagraphFont"/>
    <w:link w:val="Heading2"/>
    <w:uiPriority w:val="9"/>
    <w:rsid w:val="002E5F5B"/>
    <w:rPr>
      <w:rFonts w:ascii="Arial" w:eastAsiaTheme="majorEastAsia" w:hAnsi="Arial" w:cstheme="majorBidi"/>
      <w:b/>
      <w:bCs/>
      <w:color w:val="393C71" w:themeColor="accent1"/>
      <w:sz w:val="30"/>
      <w:szCs w:val="26"/>
    </w:rPr>
  </w:style>
  <w:style w:type="character" w:customStyle="1" w:styleId="Heading3Char">
    <w:name w:val="Heading 3 Char"/>
    <w:basedOn w:val="DefaultParagraphFont"/>
    <w:link w:val="Heading3"/>
    <w:uiPriority w:val="9"/>
    <w:rsid w:val="0013662A"/>
    <w:rPr>
      <w:rFonts w:ascii="Arial" w:eastAsiaTheme="majorEastAsia" w:hAnsi="Arial" w:cstheme="majorBidi"/>
      <w:b/>
      <w:bCs/>
      <w:color w:val="393C71" w:themeColor="accent1"/>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464E56" w:themeColor="text2"/>
      <w:sz w:val="24"/>
    </w:rPr>
  </w:style>
  <w:style w:type="paragraph" w:styleId="TOCHeading">
    <w:name w:val="TOC Heading"/>
    <w:basedOn w:val="Heading1"/>
    <w:next w:val="Normal"/>
    <w:uiPriority w:val="39"/>
    <w:semiHidden/>
    <w:unhideWhenUsed/>
    <w:qFormat/>
    <w:rsid w:val="00981DA1"/>
    <w:pPr>
      <w:spacing w:after="0" w:line="276" w:lineRule="auto"/>
      <w:outlineLvl w:val="9"/>
    </w:pPr>
    <w:rPr>
      <w:rFonts w:asciiTheme="majorHAnsi" w:hAnsiTheme="majorHAnsi"/>
      <w:color w:val="2A2C54"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393C71" w:themeColor="accent1"/>
          <w:left w:val="nil"/>
          <w:bottom w:val="single" w:sz="8" w:space="0" w:color="393C71" w:themeColor="accent1"/>
          <w:right w:val="nil"/>
          <w:insideH w:val="nil"/>
          <w:insideV w:val="nil"/>
        </w:tcBorders>
      </w:tcPr>
    </w:tblStylePr>
    <w:tblStylePr w:type="lastRow">
      <w:pPr>
        <w:spacing w:before="0" w:after="0" w:line="240" w:lineRule="auto"/>
      </w:pPr>
      <w:rPr>
        <w:b/>
        <w:bCs/>
      </w:rPr>
      <w:tblPr/>
      <w:tcPr>
        <w:tcBorders>
          <w:top w:val="single" w:sz="8" w:space="0" w:color="393C71" w:themeColor="accent1"/>
          <w:left w:val="nil"/>
          <w:bottom w:val="single" w:sz="8" w:space="0" w:color="393C7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C8E3" w:themeFill="accent1" w:themeFillTint="3F"/>
      </w:tcPr>
    </w:tblStylePr>
    <w:tblStylePr w:type="band1Horz">
      <w:tblPr/>
      <w:tcPr>
        <w:tcBorders>
          <w:left w:val="nil"/>
          <w:right w:val="nil"/>
          <w:insideH w:val="nil"/>
          <w:insideV w:val="nil"/>
        </w:tcBorders>
        <w:shd w:val="clear" w:color="auto" w:fill="393C71"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393C71" w:themeColor="accent1"/>
        <w:left w:val="single" w:sz="8" w:space="0" w:color="393C71" w:themeColor="accent1"/>
        <w:bottom w:val="single" w:sz="8" w:space="0" w:color="393C71" w:themeColor="accent1"/>
        <w:right w:val="single" w:sz="8" w:space="0" w:color="393C71" w:themeColor="accent1"/>
      </w:tblBorders>
    </w:tblPr>
    <w:tblStylePr w:type="firstRow">
      <w:pPr>
        <w:spacing w:before="0" w:after="0" w:line="240" w:lineRule="auto"/>
      </w:pPr>
      <w:rPr>
        <w:b/>
        <w:bCs/>
        <w:color w:val="FFFFFF" w:themeColor="background1"/>
      </w:rPr>
      <w:tblPr/>
      <w:tcPr>
        <w:shd w:val="clear" w:color="auto" w:fill="393C71" w:themeFill="accent1"/>
      </w:tcPr>
    </w:tblStylePr>
    <w:tblStylePr w:type="lastRow">
      <w:pPr>
        <w:spacing w:before="0" w:after="0" w:line="240" w:lineRule="auto"/>
      </w:pPr>
      <w:rPr>
        <w:b/>
        <w:bCs/>
      </w:rPr>
      <w:tblPr/>
      <w:tcPr>
        <w:tcBorders>
          <w:top w:val="double" w:sz="6" w:space="0" w:color="393C71" w:themeColor="accent1"/>
          <w:left w:val="single" w:sz="8" w:space="0" w:color="393C71" w:themeColor="accent1"/>
          <w:bottom w:val="single" w:sz="8" w:space="0" w:color="393C71" w:themeColor="accent1"/>
          <w:right w:val="single" w:sz="8" w:space="0" w:color="393C71" w:themeColor="accent1"/>
        </w:tcBorders>
      </w:tcPr>
    </w:tblStylePr>
    <w:tblStylePr w:type="firstCol">
      <w:rPr>
        <w:b/>
        <w:bCs/>
      </w:rPr>
    </w:tblStylePr>
    <w:tblStylePr w:type="lastCol">
      <w:rPr>
        <w:b/>
        <w:bCs/>
      </w:rPr>
    </w:tblStylePr>
    <w:tblStylePr w:type="band1Vert">
      <w:tblPr/>
      <w:tcPr>
        <w:tcBorders>
          <w:top w:val="single" w:sz="8" w:space="0" w:color="393C71" w:themeColor="accent1"/>
          <w:left w:val="single" w:sz="8" w:space="0" w:color="393C71" w:themeColor="accent1"/>
          <w:bottom w:val="single" w:sz="8" w:space="0" w:color="393C71" w:themeColor="accent1"/>
          <w:right w:val="single" w:sz="8" w:space="0" w:color="393C71" w:themeColor="accent1"/>
        </w:tcBorders>
      </w:tcPr>
    </w:tblStylePr>
    <w:tblStylePr w:type="band1Horz">
      <w:tblPr/>
      <w:tcPr>
        <w:tcBorders>
          <w:top w:val="single" w:sz="8" w:space="0" w:color="393C71" w:themeColor="accent1"/>
          <w:left w:val="single" w:sz="8" w:space="0" w:color="393C71" w:themeColor="accent1"/>
          <w:bottom w:val="single" w:sz="8" w:space="0" w:color="393C71" w:themeColor="accent1"/>
          <w:right w:val="single" w:sz="8" w:space="0" w:color="393C71" w:themeColor="accent1"/>
        </w:tcBorders>
      </w:tcPr>
    </w:tblStylePr>
  </w:style>
  <w:style w:type="table" w:styleId="LightShading-Accent1">
    <w:name w:val="Light Shading Accent 1"/>
    <w:basedOn w:val="TableNormal"/>
    <w:uiPriority w:val="60"/>
    <w:rsid w:val="001F68E9"/>
    <w:pPr>
      <w:spacing w:after="0" w:line="240" w:lineRule="auto"/>
    </w:pPr>
    <w:rPr>
      <w:color w:val="2A2C54" w:themeColor="accent1" w:themeShade="BF"/>
    </w:rPr>
    <w:tblPr>
      <w:tblStyleRowBandSize w:val="1"/>
      <w:tblStyleColBandSize w:val="1"/>
      <w:tblBorders>
        <w:top w:val="single" w:sz="8" w:space="0" w:color="393C71" w:themeColor="accent1"/>
        <w:bottom w:val="single" w:sz="8" w:space="0" w:color="393C71" w:themeColor="accent1"/>
      </w:tblBorders>
    </w:tblPr>
    <w:tblStylePr w:type="firstRow">
      <w:pPr>
        <w:spacing w:before="0" w:after="0" w:line="240" w:lineRule="auto"/>
      </w:pPr>
      <w:rPr>
        <w:b/>
        <w:bCs/>
      </w:rPr>
      <w:tblPr/>
      <w:tcPr>
        <w:tcBorders>
          <w:top w:val="single" w:sz="8" w:space="0" w:color="393C71" w:themeColor="accent1"/>
          <w:left w:val="nil"/>
          <w:bottom w:val="single" w:sz="8" w:space="0" w:color="393C71" w:themeColor="accent1"/>
          <w:right w:val="nil"/>
          <w:insideH w:val="nil"/>
          <w:insideV w:val="nil"/>
        </w:tcBorders>
      </w:tcPr>
    </w:tblStylePr>
    <w:tblStylePr w:type="lastRow">
      <w:pPr>
        <w:spacing w:before="0" w:after="0" w:line="240" w:lineRule="auto"/>
      </w:pPr>
      <w:rPr>
        <w:b/>
        <w:bCs/>
      </w:rPr>
      <w:tblPr/>
      <w:tcPr>
        <w:tcBorders>
          <w:top w:val="single" w:sz="8" w:space="0" w:color="393C71" w:themeColor="accent1"/>
          <w:left w:val="nil"/>
          <w:bottom w:val="single" w:sz="8" w:space="0" w:color="393C7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C8E3" w:themeFill="accent1" w:themeFillTint="3F"/>
      </w:tcPr>
    </w:tblStylePr>
    <w:tblStylePr w:type="band1Horz">
      <w:tblPr/>
      <w:tcPr>
        <w:tcBorders>
          <w:left w:val="nil"/>
          <w:right w:val="nil"/>
          <w:insideH w:val="nil"/>
          <w:insideV w:val="nil"/>
        </w:tcBorders>
        <w:shd w:val="clear" w:color="auto" w:fill="C7C8E3"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393C71" w:themeFill="accent1"/>
      </w:tcPr>
    </w:tblStylePr>
    <w:tblStylePr w:type="lastRow">
      <w:pPr>
        <w:spacing w:before="0" w:after="0" w:line="240" w:lineRule="auto"/>
      </w:pPr>
      <w:rPr>
        <w:b/>
        <w:bCs/>
      </w:rPr>
      <w:tblPr/>
      <w:tcPr>
        <w:tcBorders>
          <w:top w:val="double" w:sz="6" w:space="0" w:color="393C71" w:themeColor="accent1"/>
          <w:left w:val="single" w:sz="8" w:space="0" w:color="393C71" w:themeColor="accent1"/>
          <w:bottom w:val="single" w:sz="8" w:space="0" w:color="393C71" w:themeColor="accent1"/>
          <w:right w:val="single" w:sz="8" w:space="0" w:color="393C71" w:themeColor="accent1"/>
        </w:tcBorders>
      </w:tcPr>
    </w:tblStylePr>
    <w:tblStylePr w:type="firstCol">
      <w:rPr>
        <w:b/>
        <w:bCs/>
      </w:rPr>
    </w:tblStylePr>
    <w:tblStylePr w:type="lastCol">
      <w:rPr>
        <w:b/>
        <w:bCs/>
      </w:rPr>
    </w:tblStylePr>
    <w:tblStylePr w:type="band1Vert">
      <w:tblPr/>
      <w:tcPr>
        <w:tcBorders>
          <w:top w:val="single" w:sz="8" w:space="0" w:color="393C71" w:themeColor="accent1"/>
          <w:left w:val="single" w:sz="8" w:space="0" w:color="393C71" w:themeColor="accent1"/>
          <w:bottom w:val="single" w:sz="8" w:space="0" w:color="393C71" w:themeColor="accent1"/>
          <w:right w:val="single" w:sz="8" w:space="0" w:color="393C71" w:themeColor="accent1"/>
        </w:tcBorders>
      </w:tcPr>
    </w:tblStylePr>
    <w:tblStylePr w:type="band1Horz">
      <w:tblPr/>
      <w:tcPr>
        <w:tcBorders>
          <w:top w:val="single" w:sz="8" w:space="0" w:color="393C71" w:themeColor="accent1"/>
          <w:left w:val="single" w:sz="8" w:space="0" w:color="393C71" w:themeColor="accent1"/>
          <w:bottom w:val="single" w:sz="8" w:space="0" w:color="393C71" w:themeColor="accent1"/>
          <w:right w:val="single" w:sz="8" w:space="0" w:color="393C71"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393C71" w:themeColor="accent1"/>
        <w:left w:val="single" w:sz="8" w:space="0" w:color="393C71" w:themeColor="accent1"/>
        <w:bottom w:val="single" w:sz="8" w:space="0" w:color="393C71" w:themeColor="accent1"/>
        <w:right w:val="single" w:sz="8" w:space="0" w:color="393C71" w:themeColor="accent1"/>
        <w:insideH w:val="single" w:sz="8" w:space="0" w:color="393C71" w:themeColor="accent1"/>
        <w:insideV w:val="single" w:sz="8" w:space="0" w:color="393C7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93C71" w:themeColor="accent1"/>
          <w:left w:val="single" w:sz="8" w:space="0" w:color="393C71" w:themeColor="accent1"/>
          <w:bottom w:val="single" w:sz="18" w:space="0" w:color="393C71" w:themeColor="accent1"/>
          <w:right w:val="single" w:sz="8" w:space="0" w:color="393C71" w:themeColor="accent1"/>
          <w:insideH w:val="nil"/>
          <w:insideV w:val="single" w:sz="8" w:space="0" w:color="393C7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93C71" w:themeColor="accent1"/>
          <w:left w:val="single" w:sz="8" w:space="0" w:color="393C71" w:themeColor="accent1"/>
          <w:bottom w:val="single" w:sz="8" w:space="0" w:color="393C71" w:themeColor="accent1"/>
          <w:right w:val="single" w:sz="8" w:space="0" w:color="393C71" w:themeColor="accent1"/>
          <w:insideH w:val="nil"/>
          <w:insideV w:val="single" w:sz="8" w:space="0" w:color="393C7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93C71" w:themeColor="accent1"/>
          <w:left w:val="single" w:sz="8" w:space="0" w:color="393C71" w:themeColor="accent1"/>
          <w:bottom w:val="single" w:sz="8" w:space="0" w:color="393C71" w:themeColor="accent1"/>
          <w:right w:val="single" w:sz="8" w:space="0" w:color="393C71" w:themeColor="accent1"/>
        </w:tcBorders>
      </w:tcPr>
    </w:tblStylePr>
    <w:tblStylePr w:type="band1Vert">
      <w:tblPr/>
      <w:tcPr>
        <w:tcBorders>
          <w:top w:val="single" w:sz="8" w:space="0" w:color="393C71" w:themeColor="accent1"/>
          <w:left w:val="single" w:sz="8" w:space="0" w:color="393C71" w:themeColor="accent1"/>
          <w:bottom w:val="single" w:sz="8" w:space="0" w:color="393C71" w:themeColor="accent1"/>
          <w:right w:val="single" w:sz="8" w:space="0" w:color="393C71" w:themeColor="accent1"/>
        </w:tcBorders>
        <w:shd w:val="clear" w:color="auto" w:fill="C7C8E3" w:themeFill="accent1" w:themeFillTint="3F"/>
      </w:tcPr>
    </w:tblStylePr>
    <w:tblStylePr w:type="band1Horz">
      <w:tblPr/>
      <w:tcPr>
        <w:tcBorders>
          <w:top w:val="single" w:sz="8" w:space="0" w:color="393C71" w:themeColor="accent1"/>
          <w:left w:val="single" w:sz="8" w:space="0" w:color="393C71" w:themeColor="accent1"/>
          <w:bottom w:val="single" w:sz="8" w:space="0" w:color="393C71" w:themeColor="accent1"/>
          <w:right w:val="single" w:sz="8" w:space="0" w:color="393C71" w:themeColor="accent1"/>
          <w:insideV w:val="single" w:sz="8" w:space="0" w:color="393C71" w:themeColor="accent1"/>
        </w:tcBorders>
        <w:shd w:val="clear" w:color="auto" w:fill="C7C8E3" w:themeFill="accent1" w:themeFillTint="3F"/>
      </w:tcPr>
    </w:tblStylePr>
    <w:tblStylePr w:type="band2Horz">
      <w:tblPr/>
      <w:tcPr>
        <w:tcBorders>
          <w:top w:val="single" w:sz="8" w:space="0" w:color="393C71" w:themeColor="accent1"/>
          <w:left w:val="single" w:sz="8" w:space="0" w:color="393C71" w:themeColor="accent1"/>
          <w:bottom w:val="single" w:sz="8" w:space="0" w:color="393C71" w:themeColor="accent1"/>
          <w:right w:val="single" w:sz="8" w:space="0" w:color="393C71" w:themeColor="accent1"/>
          <w:insideV w:val="single" w:sz="8" w:space="0" w:color="393C71"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393C71" w:themeColor="accent1"/>
          <w:left w:val="single" w:sz="8" w:space="0" w:color="393C71" w:themeColor="accent1"/>
          <w:bottom w:val="single" w:sz="18" w:space="0" w:color="393C71" w:themeColor="accent1"/>
          <w:right w:val="single" w:sz="8" w:space="0" w:color="393C71" w:themeColor="accent1"/>
          <w:insideH w:val="nil"/>
          <w:insideV w:val="single" w:sz="8" w:space="0" w:color="393C7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93C71" w:themeColor="accent1"/>
          <w:left w:val="single" w:sz="8" w:space="0" w:color="393C71" w:themeColor="accent1"/>
          <w:bottom w:val="single" w:sz="8" w:space="0" w:color="393C71" w:themeColor="accent1"/>
          <w:right w:val="single" w:sz="8" w:space="0" w:color="393C71" w:themeColor="accent1"/>
          <w:insideH w:val="nil"/>
          <w:insideV w:val="single" w:sz="8" w:space="0" w:color="393C7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93C71" w:themeColor="accent1"/>
          <w:left w:val="single" w:sz="8" w:space="0" w:color="393C71" w:themeColor="accent1"/>
          <w:bottom w:val="single" w:sz="8" w:space="0" w:color="393C71" w:themeColor="accent1"/>
          <w:right w:val="single" w:sz="8" w:space="0" w:color="393C71" w:themeColor="accent1"/>
        </w:tcBorders>
      </w:tcPr>
    </w:tblStylePr>
    <w:tblStylePr w:type="band1Vert">
      <w:tblPr/>
      <w:tcPr>
        <w:tcBorders>
          <w:top w:val="single" w:sz="8" w:space="0" w:color="393C71" w:themeColor="accent1"/>
          <w:left w:val="single" w:sz="8" w:space="0" w:color="393C71" w:themeColor="accent1"/>
          <w:bottom w:val="single" w:sz="8" w:space="0" w:color="393C71" w:themeColor="accent1"/>
          <w:right w:val="single" w:sz="8" w:space="0" w:color="393C71" w:themeColor="accent1"/>
        </w:tcBorders>
        <w:shd w:val="clear" w:color="auto" w:fill="C7C8E3" w:themeFill="accent1" w:themeFillTint="3F"/>
      </w:tcPr>
    </w:tblStylePr>
    <w:tblStylePr w:type="band1Horz">
      <w:tblPr/>
      <w:tcPr>
        <w:tcBorders>
          <w:top w:val="single" w:sz="8" w:space="0" w:color="393C71" w:themeColor="accent1"/>
          <w:left w:val="single" w:sz="8" w:space="0" w:color="393C71" w:themeColor="accent1"/>
          <w:bottom w:val="single" w:sz="8" w:space="0" w:color="393C71" w:themeColor="accent1"/>
          <w:right w:val="single" w:sz="8" w:space="0" w:color="393C71" w:themeColor="accent1"/>
          <w:insideV w:val="single" w:sz="8" w:space="0" w:color="393C71" w:themeColor="accent1"/>
        </w:tcBorders>
        <w:shd w:val="clear" w:color="auto" w:fill="393C71" w:themeFill="accent2"/>
      </w:tcPr>
    </w:tblStylePr>
    <w:tblStylePr w:type="band2Horz">
      <w:tblPr/>
      <w:tcPr>
        <w:tcBorders>
          <w:top w:val="single" w:sz="8" w:space="0" w:color="393C71" w:themeColor="accent1"/>
          <w:left w:val="single" w:sz="8" w:space="0" w:color="393C71" w:themeColor="accent1"/>
          <w:bottom w:val="single" w:sz="8" w:space="0" w:color="393C71" w:themeColor="accent1"/>
          <w:right w:val="single" w:sz="8" w:space="0" w:color="393C71" w:themeColor="accent1"/>
          <w:insideV w:val="single" w:sz="8" w:space="0" w:color="393C71"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5559A9" w:themeColor="accent1" w:themeTint="BF"/>
        <w:left w:val="single" w:sz="8" w:space="0" w:color="5559A9" w:themeColor="accent1" w:themeTint="BF"/>
        <w:bottom w:val="single" w:sz="8" w:space="0" w:color="5559A9" w:themeColor="accent1" w:themeTint="BF"/>
        <w:right w:val="single" w:sz="8" w:space="0" w:color="5559A9" w:themeColor="accent1" w:themeTint="BF"/>
        <w:insideH w:val="single" w:sz="8" w:space="0" w:color="5559A9" w:themeColor="accent1" w:themeTint="BF"/>
      </w:tblBorders>
    </w:tblPr>
    <w:tblStylePr w:type="firstRow">
      <w:pPr>
        <w:spacing w:before="0" w:after="0" w:line="240" w:lineRule="auto"/>
      </w:pPr>
      <w:rPr>
        <w:b/>
        <w:bCs/>
        <w:color w:val="FFFFFF" w:themeColor="background1"/>
      </w:rPr>
      <w:tblPr/>
      <w:tcPr>
        <w:tcBorders>
          <w:top w:val="single" w:sz="8" w:space="0" w:color="5559A9" w:themeColor="accent1" w:themeTint="BF"/>
          <w:left w:val="single" w:sz="8" w:space="0" w:color="5559A9" w:themeColor="accent1" w:themeTint="BF"/>
          <w:bottom w:val="single" w:sz="8" w:space="0" w:color="5559A9" w:themeColor="accent1" w:themeTint="BF"/>
          <w:right w:val="single" w:sz="8" w:space="0" w:color="5559A9" w:themeColor="accent1" w:themeTint="BF"/>
          <w:insideH w:val="nil"/>
          <w:insideV w:val="nil"/>
        </w:tcBorders>
        <w:shd w:val="clear" w:color="auto" w:fill="393C71" w:themeFill="accent1"/>
      </w:tcPr>
    </w:tblStylePr>
    <w:tblStylePr w:type="lastRow">
      <w:pPr>
        <w:spacing w:before="0" w:after="0" w:line="240" w:lineRule="auto"/>
      </w:pPr>
      <w:rPr>
        <w:b/>
        <w:bCs/>
      </w:rPr>
      <w:tblPr/>
      <w:tcPr>
        <w:tcBorders>
          <w:top w:val="double" w:sz="6" w:space="0" w:color="5559A9" w:themeColor="accent1" w:themeTint="BF"/>
          <w:left w:val="single" w:sz="8" w:space="0" w:color="5559A9" w:themeColor="accent1" w:themeTint="BF"/>
          <w:bottom w:val="single" w:sz="8" w:space="0" w:color="5559A9" w:themeColor="accent1" w:themeTint="BF"/>
          <w:right w:val="single" w:sz="8" w:space="0" w:color="5559A9" w:themeColor="accent1" w:themeTint="BF"/>
          <w:insideH w:val="nil"/>
          <w:insideV w:val="nil"/>
        </w:tcBorders>
      </w:tcPr>
    </w:tblStylePr>
    <w:tblStylePr w:type="firstCol">
      <w:rPr>
        <w:b/>
        <w:bCs/>
      </w:rPr>
    </w:tblStylePr>
    <w:tblStylePr w:type="lastCol">
      <w:rPr>
        <w:b/>
        <w:bCs/>
      </w:rPr>
    </w:tblStylePr>
    <w:tblStylePr w:type="band1Vert">
      <w:tblPr/>
      <w:tcPr>
        <w:shd w:val="clear" w:color="auto" w:fill="C7C8E3" w:themeFill="accent1" w:themeFillTint="3F"/>
      </w:tcPr>
    </w:tblStylePr>
    <w:tblStylePr w:type="band1Horz">
      <w:tblPr/>
      <w:tcPr>
        <w:tcBorders>
          <w:insideH w:val="nil"/>
          <w:insideV w:val="nil"/>
        </w:tcBorders>
        <w:shd w:val="clear" w:color="auto" w:fill="C7C8E3"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5559A9" w:themeColor="accent1" w:themeTint="BF"/>
          <w:left w:val="single" w:sz="8" w:space="0" w:color="5559A9" w:themeColor="accent1" w:themeTint="BF"/>
          <w:bottom w:val="single" w:sz="8" w:space="0" w:color="5559A9" w:themeColor="accent1" w:themeTint="BF"/>
          <w:right w:val="single" w:sz="8" w:space="0" w:color="5559A9" w:themeColor="accent1" w:themeTint="BF"/>
          <w:insideH w:val="nil"/>
          <w:insideV w:val="nil"/>
        </w:tcBorders>
        <w:shd w:val="clear" w:color="auto" w:fill="393C71" w:themeFill="accent1"/>
      </w:tcPr>
    </w:tblStylePr>
    <w:tblStylePr w:type="lastRow">
      <w:pPr>
        <w:spacing w:before="0" w:after="0" w:line="240" w:lineRule="auto"/>
      </w:pPr>
      <w:rPr>
        <w:b/>
        <w:bCs/>
      </w:rPr>
      <w:tblPr/>
      <w:tcPr>
        <w:tcBorders>
          <w:top w:val="double" w:sz="6" w:space="0" w:color="5559A9" w:themeColor="accent1" w:themeTint="BF"/>
          <w:left w:val="single" w:sz="8" w:space="0" w:color="5559A9" w:themeColor="accent1" w:themeTint="BF"/>
          <w:bottom w:val="single" w:sz="8" w:space="0" w:color="5559A9" w:themeColor="accent1" w:themeTint="BF"/>
          <w:right w:val="single" w:sz="8" w:space="0" w:color="5559A9" w:themeColor="accent1" w:themeTint="BF"/>
          <w:insideH w:val="nil"/>
          <w:insideV w:val="nil"/>
        </w:tcBorders>
      </w:tcPr>
    </w:tblStylePr>
    <w:tblStylePr w:type="firstCol">
      <w:rPr>
        <w:b/>
        <w:bCs/>
      </w:rPr>
    </w:tblStylePr>
    <w:tblStylePr w:type="lastCol">
      <w:rPr>
        <w:b/>
        <w:bCs/>
      </w:rPr>
    </w:tblStylePr>
    <w:tblStylePr w:type="band1Vert">
      <w:tblPr/>
      <w:tcPr>
        <w:shd w:val="clear" w:color="auto" w:fill="C7C8E3"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393C71"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393C71" w:themeColor="accent1"/>
        <w:bottom w:val="single" w:sz="8" w:space="0" w:color="393C71" w:themeColor="accent1"/>
      </w:tblBorders>
    </w:tblPr>
    <w:tblStylePr w:type="firstRow">
      <w:rPr>
        <w:rFonts w:asciiTheme="majorHAnsi" w:eastAsiaTheme="majorEastAsia" w:hAnsiTheme="majorHAnsi" w:cstheme="majorBidi"/>
      </w:rPr>
      <w:tblPr/>
      <w:tcPr>
        <w:tcBorders>
          <w:top w:val="nil"/>
          <w:bottom w:val="single" w:sz="8" w:space="0" w:color="393C71" w:themeColor="accent1"/>
        </w:tcBorders>
      </w:tcPr>
    </w:tblStylePr>
    <w:tblStylePr w:type="lastRow">
      <w:rPr>
        <w:b/>
        <w:bCs/>
        <w:color w:val="464E56" w:themeColor="text2"/>
      </w:rPr>
      <w:tblPr/>
      <w:tcPr>
        <w:tcBorders>
          <w:top w:val="single" w:sz="8" w:space="0" w:color="393C71" w:themeColor="accent1"/>
          <w:bottom w:val="single" w:sz="8" w:space="0" w:color="393C71" w:themeColor="accent1"/>
        </w:tcBorders>
      </w:tcPr>
    </w:tblStylePr>
    <w:tblStylePr w:type="firstCol">
      <w:rPr>
        <w:b/>
        <w:bCs/>
      </w:rPr>
    </w:tblStylePr>
    <w:tblStylePr w:type="lastCol">
      <w:rPr>
        <w:b/>
        <w:bCs/>
      </w:rPr>
      <w:tblPr/>
      <w:tcPr>
        <w:tcBorders>
          <w:top w:val="single" w:sz="8" w:space="0" w:color="393C71" w:themeColor="accent1"/>
          <w:bottom w:val="single" w:sz="8" w:space="0" w:color="393C71" w:themeColor="accent1"/>
        </w:tcBorders>
      </w:tcPr>
    </w:tblStylePr>
    <w:tblStylePr w:type="band1Vert">
      <w:tblPr/>
      <w:tcPr>
        <w:shd w:val="clear" w:color="auto" w:fill="C7C8E3" w:themeFill="accent1" w:themeFillTint="3F"/>
      </w:tcPr>
    </w:tblStylePr>
    <w:tblStylePr w:type="band1Horz">
      <w:tblPr/>
      <w:tcPr>
        <w:shd w:val="clear" w:color="auto" w:fill="C7C8E3"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393C71" w:themeColor="accent1"/>
        </w:tcBorders>
      </w:tcPr>
    </w:tblStylePr>
    <w:tblStylePr w:type="lastRow">
      <w:rPr>
        <w:b/>
        <w:bCs/>
        <w:color w:val="464E56" w:themeColor="text2"/>
      </w:rPr>
      <w:tblPr/>
      <w:tcPr>
        <w:tcBorders>
          <w:top w:val="single" w:sz="8" w:space="0" w:color="393C71" w:themeColor="accent1"/>
          <w:bottom w:val="single" w:sz="8" w:space="0" w:color="393C71" w:themeColor="accent1"/>
        </w:tcBorders>
      </w:tcPr>
    </w:tblStylePr>
    <w:tblStylePr w:type="firstCol">
      <w:rPr>
        <w:b/>
        <w:bCs/>
      </w:rPr>
    </w:tblStylePr>
    <w:tblStylePr w:type="lastCol">
      <w:rPr>
        <w:b/>
        <w:bCs/>
      </w:rPr>
      <w:tblPr/>
      <w:tcPr>
        <w:tcBorders>
          <w:top w:val="single" w:sz="8" w:space="0" w:color="393C71" w:themeColor="accent1"/>
          <w:bottom w:val="single" w:sz="8" w:space="0" w:color="393C71" w:themeColor="accent1"/>
        </w:tcBorders>
      </w:tcPr>
    </w:tblStylePr>
    <w:tblStylePr w:type="band1Vert">
      <w:tblPr/>
      <w:tcPr>
        <w:shd w:val="clear" w:color="auto" w:fill="C7C8E3" w:themeFill="accent1" w:themeFillTint="3F"/>
      </w:tcPr>
    </w:tblStylePr>
    <w:tblStylePr w:type="band1Horz">
      <w:tblPr/>
      <w:tcPr>
        <w:shd w:val="clear" w:color="auto" w:fill="393C71"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393C71" w:themeColor="accent1"/>
          <w:right w:val="nil"/>
          <w:insideH w:val="nil"/>
          <w:insideV w:val="nil"/>
        </w:tcBorders>
        <w:shd w:val="clear" w:color="auto" w:fill="FFFFFF" w:themeFill="background1"/>
      </w:tcPr>
    </w:tblStylePr>
    <w:tblStylePr w:type="lastRow">
      <w:tblPr/>
      <w:tcPr>
        <w:tcBorders>
          <w:top w:val="single" w:sz="8" w:space="0" w:color="393C7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93C71" w:themeColor="accent1"/>
          <w:insideH w:val="nil"/>
          <w:insideV w:val="nil"/>
        </w:tcBorders>
        <w:shd w:val="clear" w:color="auto" w:fill="FFFFFF" w:themeFill="background1"/>
      </w:tcPr>
    </w:tblStylePr>
    <w:tblStylePr w:type="lastCol">
      <w:tblPr/>
      <w:tcPr>
        <w:tcBorders>
          <w:top w:val="nil"/>
          <w:left w:val="single" w:sz="8" w:space="0" w:color="393C7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C8E3" w:themeFill="accent1" w:themeFillTint="3F"/>
      </w:tcPr>
    </w:tblStylePr>
    <w:tblStylePr w:type="band1Horz">
      <w:tblPr/>
      <w:tcPr>
        <w:tcBorders>
          <w:top w:val="nil"/>
          <w:bottom w:val="nil"/>
          <w:insideH w:val="nil"/>
          <w:insideV w:val="nil"/>
        </w:tcBorders>
        <w:shd w:val="clear" w:color="auto" w:fill="393C71"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93C71" w:themeColor="accent1"/>
        <w:left w:val="single" w:sz="8" w:space="0" w:color="393C71" w:themeColor="accent1"/>
        <w:bottom w:val="single" w:sz="8" w:space="0" w:color="393C71" w:themeColor="accent1"/>
        <w:right w:val="single" w:sz="8" w:space="0" w:color="393C71" w:themeColor="accent1"/>
      </w:tblBorders>
    </w:tblPr>
    <w:tblStylePr w:type="firstRow">
      <w:rPr>
        <w:sz w:val="24"/>
        <w:szCs w:val="24"/>
      </w:rPr>
      <w:tblPr/>
      <w:tcPr>
        <w:tcBorders>
          <w:top w:val="nil"/>
          <w:left w:val="nil"/>
          <w:bottom w:val="single" w:sz="24" w:space="0" w:color="393C71" w:themeColor="accent1"/>
          <w:right w:val="nil"/>
          <w:insideH w:val="nil"/>
          <w:insideV w:val="nil"/>
        </w:tcBorders>
        <w:shd w:val="clear" w:color="auto" w:fill="FFFFFF" w:themeFill="background1"/>
      </w:tcPr>
    </w:tblStylePr>
    <w:tblStylePr w:type="lastRow">
      <w:tblPr/>
      <w:tcPr>
        <w:tcBorders>
          <w:top w:val="single" w:sz="8" w:space="0" w:color="393C7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93C71" w:themeColor="accent1"/>
          <w:insideH w:val="nil"/>
          <w:insideV w:val="nil"/>
        </w:tcBorders>
        <w:shd w:val="clear" w:color="auto" w:fill="FFFFFF" w:themeFill="background1"/>
      </w:tcPr>
    </w:tblStylePr>
    <w:tblStylePr w:type="lastCol">
      <w:tblPr/>
      <w:tcPr>
        <w:tcBorders>
          <w:top w:val="nil"/>
          <w:left w:val="single" w:sz="8" w:space="0" w:color="393C7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C8E3" w:themeFill="accent1" w:themeFillTint="3F"/>
      </w:tcPr>
    </w:tblStylePr>
    <w:tblStylePr w:type="band1Horz">
      <w:tblPr/>
      <w:tcPr>
        <w:tcBorders>
          <w:top w:val="nil"/>
          <w:bottom w:val="nil"/>
          <w:insideH w:val="nil"/>
          <w:insideV w:val="nil"/>
        </w:tcBorders>
        <w:shd w:val="clear" w:color="auto" w:fill="C7C8E3"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itleHeader">
    <w:name w:val="Title Header"/>
    <w:basedOn w:val="Normal"/>
    <w:next w:val="Normal"/>
    <w:uiPriority w:val="99"/>
    <w:rsid w:val="00F647BD"/>
    <w:pPr>
      <w:suppressAutoHyphens/>
      <w:autoSpaceDE w:val="0"/>
      <w:autoSpaceDN w:val="0"/>
      <w:adjustRightInd w:val="0"/>
      <w:spacing w:before="113" w:after="680" w:line="680" w:lineRule="atLeast"/>
      <w:textAlignment w:val="center"/>
    </w:pPr>
    <w:rPr>
      <w:rFonts w:ascii="Arial MT Std" w:hAnsi="Arial MT Std" w:cs="Arial MT Std"/>
      <w:color w:val="006D00"/>
      <w:sz w:val="64"/>
      <w:szCs w:val="64"/>
      <w:lang w:val="en-GB"/>
    </w:rPr>
  </w:style>
  <w:style w:type="paragraph" w:customStyle="1" w:styleId="Bodycopy">
    <w:name w:val="Body copy"/>
    <w:basedOn w:val="Normal"/>
    <w:uiPriority w:val="99"/>
    <w:rsid w:val="00F647BD"/>
    <w:pPr>
      <w:suppressAutoHyphens/>
      <w:autoSpaceDE w:val="0"/>
      <w:autoSpaceDN w:val="0"/>
      <w:adjustRightInd w:val="0"/>
      <w:spacing w:after="142" w:line="290" w:lineRule="atLeast"/>
      <w:textAlignment w:val="center"/>
    </w:pPr>
    <w:rPr>
      <w:rFonts w:ascii="Arial MT Std" w:hAnsi="Arial MT Std" w:cs="Arial MT Std"/>
      <w:color w:val="000000"/>
      <w:szCs w:val="24"/>
      <w:lang w:val="en-GB"/>
    </w:rPr>
  </w:style>
  <w:style w:type="paragraph" w:customStyle="1" w:styleId="Subhead1">
    <w:name w:val="Sub head 1"/>
    <w:basedOn w:val="Normal"/>
    <w:uiPriority w:val="99"/>
    <w:rsid w:val="00F647BD"/>
    <w:pPr>
      <w:suppressAutoHyphens/>
      <w:autoSpaceDE w:val="0"/>
      <w:autoSpaceDN w:val="0"/>
      <w:adjustRightInd w:val="0"/>
      <w:spacing w:before="170" w:line="340" w:lineRule="atLeast"/>
      <w:textAlignment w:val="center"/>
    </w:pPr>
    <w:rPr>
      <w:rFonts w:ascii="Arial MT Std" w:hAnsi="Arial MT Std" w:cs="Arial MT Std"/>
      <w:b/>
      <w:bCs/>
      <w:color w:val="006D00"/>
      <w:sz w:val="30"/>
      <w:szCs w:val="30"/>
      <w:lang w:val="en-GB"/>
    </w:rPr>
  </w:style>
  <w:style w:type="paragraph" w:customStyle="1" w:styleId="Subhead2">
    <w:name w:val="Sub head 2"/>
    <w:basedOn w:val="Normal"/>
    <w:uiPriority w:val="99"/>
    <w:rsid w:val="00F647BD"/>
    <w:pPr>
      <w:suppressAutoHyphens/>
      <w:autoSpaceDE w:val="0"/>
      <w:autoSpaceDN w:val="0"/>
      <w:adjustRightInd w:val="0"/>
      <w:spacing w:before="57" w:after="142" w:line="300" w:lineRule="atLeast"/>
      <w:textAlignment w:val="center"/>
    </w:pPr>
    <w:rPr>
      <w:rFonts w:ascii="Arial MT Std" w:hAnsi="Arial MT Std" w:cs="Arial MT Std"/>
      <w:b/>
      <w:bCs/>
      <w:color w:val="006D00"/>
      <w:sz w:val="26"/>
      <w:szCs w:val="26"/>
      <w:lang w:val="en-GB"/>
    </w:rPr>
  </w:style>
  <w:style w:type="paragraph" w:styleId="Header">
    <w:name w:val="header"/>
    <w:basedOn w:val="Normal"/>
    <w:link w:val="HeaderChar"/>
    <w:uiPriority w:val="99"/>
    <w:semiHidden/>
    <w:rsid w:val="0013662A"/>
    <w:pPr>
      <w:tabs>
        <w:tab w:val="center" w:pos="4513"/>
        <w:tab w:val="right" w:pos="9026"/>
      </w:tabs>
      <w:spacing w:after="0"/>
    </w:pPr>
  </w:style>
  <w:style w:type="character" w:customStyle="1" w:styleId="HeaderChar">
    <w:name w:val="Header Char"/>
    <w:basedOn w:val="DefaultParagraphFont"/>
    <w:link w:val="Header"/>
    <w:uiPriority w:val="99"/>
    <w:semiHidden/>
    <w:rsid w:val="0013662A"/>
    <w:rPr>
      <w:rFonts w:ascii="Arial" w:hAnsi="Arial"/>
      <w:sz w:val="24"/>
    </w:rPr>
  </w:style>
  <w:style w:type="paragraph" w:styleId="Footer">
    <w:name w:val="footer"/>
    <w:basedOn w:val="Normal"/>
    <w:link w:val="FooterChar"/>
    <w:uiPriority w:val="99"/>
    <w:semiHidden/>
    <w:rsid w:val="0013662A"/>
    <w:pPr>
      <w:tabs>
        <w:tab w:val="center" w:pos="4513"/>
        <w:tab w:val="right" w:pos="9026"/>
      </w:tabs>
      <w:spacing w:after="0"/>
    </w:pPr>
  </w:style>
  <w:style w:type="character" w:customStyle="1" w:styleId="FooterChar">
    <w:name w:val="Footer Char"/>
    <w:basedOn w:val="DefaultParagraphFont"/>
    <w:link w:val="Footer"/>
    <w:uiPriority w:val="99"/>
    <w:semiHidden/>
    <w:rsid w:val="0013662A"/>
    <w:rPr>
      <w:rFonts w:ascii="Arial" w:hAnsi="Arial"/>
      <w:sz w:val="24"/>
    </w:rPr>
  </w:style>
  <w:style w:type="paragraph" w:customStyle="1" w:styleId="TEXT">
    <w:name w:val="TEXT"/>
    <w:basedOn w:val="Normal"/>
    <w:uiPriority w:val="99"/>
    <w:rsid w:val="009B0844"/>
    <w:pPr>
      <w:widowControl w:val="0"/>
      <w:suppressAutoHyphens/>
      <w:autoSpaceDE w:val="0"/>
      <w:autoSpaceDN w:val="0"/>
      <w:adjustRightInd w:val="0"/>
      <w:spacing w:after="113" w:line="280" w:lineRule="atLeast"/>
      <w:textAlignment w:val="center"/>
    </w:pPr>
    <w:rPr>
      <w:rFonts w:ascii="ArialMTStd" w:eastAsia="Calibri" w:hAnsi="ArialMTStd" w:cs="ArialMTStd"/>
      <w:color w:val="000000"/>
      <w:szCs w:val="24"/>
      <w:lang w:val="en-GB"/>
    </w:rPr>
  </w:style>
  <w:style w:type="character" w:styleId="PlaceholderText">
    <w:name w:val="Placeholder Text"/>
    <w:basedOn w:val="DefaultParagraphFont"/>
    <w:uiPriority w:val="99"/>
    <w:semiHidden/>
    <w:rsid w:val="00882643"/>
    <w:rPr>
      <w:color w:val="808080"/>
    </w:rPr>
  </w:style>
  <w:style w:type="paragraph" w:styleId="BodyText">
    <w:name w:val="Body Text"/>
    <w:basedOn w:val="Normal"/>
    <w:link w:val="BodyTextChar"/>
    <w:uiPriority w:val="1"/>
    <w:qFormat/>
    <w:rsid w:val="0093743B"/>
    <w:pPr>
      <w:widowControl w:val="0"/>
      <w:autoSpaceDE w:val="0"/>
      <w:autoSpaceDN w:val="0"/>
      <w:adjustRightInd w:val="0"/>
      <w:spacing w:after="0"/>
    </w:pPr>
    <w:rPr>
      <w:rFonts w:eastAsiaTheme="minorEastAsia" w:cs="Arial"/>
      <w:sz w:val="22"/>
      <w:lang w:eastAsia="en-AU"/>
    </w:rPr>
  </w:style>
  <w:style w:type="character" w:customStyle="1" w:styleId="BodyTextChar">
    <w:name w:val="Body Text Char"/>
    <w:basedOn w:val="DefaultParagraphFont"/>
    <w:link w:val="BodyText"/>
    <w:uiPriority w:val="1"/>
    <w:rsid w:val="0093743B"/>
    <w:rPr>
      <w:rFonts w:ascii="Arial" w:eastAsiaTheme="minorEastAsia" w:hAnsi="Arial" w:cs="Arial"/>
      <w:lang w:eastAsia="en-AU"/>
    </w:rPr>
  </w:style>
  <w:style w:type="character" w:styleId="FollowedHyperlink">
    <w:name w:val="FollowedHyperlink"/>
    <w:basedOn w:val="DefaultParagraphFont"/>
    <w:uiPriority w:val="99"/>
    <w:semiHidden/>
    <w:rsid w:val="007A7BA9"/>
    <w:rPr>
      <w:color w:val="095489" w:themeColor="followedHyperlink"/>
      <w:u w:val="single"/>
    </w:rPr>
  </w:style>
  <w:style w:type="paragraph" w:customStyle="1" w:styleId="Default">
    <w:name w:val="Default"/>
    <w:rsid w:val="00392D9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unhideWhenUsed="1"/>
    <w:lsdException w:name="Body Text" w:uiPriority="1" w:qFormat="1"/>
    <w:lsdException w:name="Subtitle" w:uiPriority="11" w:qFormat="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2"/>
    <w:qFormat/>
    <w:rsid w:val="00A91C4C"/>
    <w:pPr>
      <w:spacing w:after="170" w:line="240" w:lineRule="auto"/>
    </w:pPr>
    <w:rPr>
      <w:rFonts w:ascii="Arial" w:hAnsi="Arial"/>
      <w:sz w:val="24"/>
    </w:rPr>
  </w:style>
  <w:style w:type="paragraph" w:styleId="Heading1">
    <w:name w:val="heading 1"/>
    <w:basedOn w:val="Normal"/>
    <w:next w:val="Normal"/>
    <w:link w:val="Heading1Char"/>
    <w:uiPriority w:val="9"/>
    <w:qFormat/>
    <w:rsid w:val="00753150"/>
    <w:pPr>
      <w:keepNext/>
      <w:keepLines/>
      <w:spacing w:before="480" w:after="480"/>
      <w:outlineLvl w:val="0"/>
    </w:pPr>
    <w:rPr>
      <w:rFonts w:eastAsiaTheme="majorEastAsia" w:cstheme="majorBidi"/>
      <w:bCs/>
      <w:color w:val="393C71" w:themeColor="accent1"/>
      <w:sz w:val="64"/>
      <w:szCs w:val="28"/>
    </w:rPr>
  </w:style>
  <w:style w:type="paragraph" w:styleId="Heading2">
    <w:name w:val="heading 2"/>
    <w:basedOn w:val="Normal"/>
    <w:next w:val="Normal"/>
    <w:link w:val="Heading2Char"/>
    <w:uiPriority w:val="9"/>
    <w:qFormat/>
    <w:rsid w:val="002E5F5B"/>
    <w:pPr>
      <w:keepNext/>
      <w:keepLines/>
      <w:spacing w:before="280" w:after="100"/>
      <w:outlineLvl w:val="1"/>
    </w:pPr>
    <w:rPr>
      <w:rFonts w:eastAsiaTheme="majorEastAsia" w:cstheme="majorBidi"/>
      <w:b/>
      <w:bCs/>
      <w:color w:val="393C71" w:themeColor="accent1"/>
      <w:sz w:val="30"/>
      <w:szCs w:val="26"/>
    </w:rPr>
  </w:style>
  <w:style w:type="paragraph" w:styleId="Heading3">
    <w:name w:val="heading 3"/>
    <w:basedOn w:val="Normal"/>
    <w:next w:val="Normal"/>
    <w:link w:val="Heading3Char"/>
    <w:uiPriority w:val="9"/>
    <w:qFormat/>
    <w:rsid w:val="0013662A"/>
    <w:pPr>
      <w:keepNext/>
      <w:keepLines/>
      <w:spacing w:before="260" w:after="100"/>
      <w:outlineLvl w:val="2"/>
    </w:pPr>
    <w:rPr>
      <w:rFonts w:eastAsiaTheme="majorEastAsia" w:cstheme="majorBidi"/>
      <w:b/>
      <w:bCs/>
      <w:color w:val="393C71" w:themeColor="accent1"/>
      <w:sz w:val="26"/>
    </w:rPr>
  </w:style>
  <w:style w:type="paragraph" w:styleId="Heading4">
    <w:name w:val="heading 4"/>
    <w:basedOn w:val="Normal"/>
    <w:next w:val="Normal"/>
    <w:link w:val="Heading4Char"/>
    <w:uiPriority w:val="9"/>
    <w:rsid w:val="00171B7B"/>
    <w:pPr>
      <w:keepNext/>
      <w:keepLines/>
      <w:spacing w:before="240" w:after="60"/>
      <w:outlineLvl w:val="3"/>
    </w:pPr>
    <w:rPr>
      <w:rFonts w:eastAsiaTheme="majorEastAsia" w:cstheme="majorBidi"/>
      <w:b/>
      <w:bCs/>
      <w:iCs/>
      <w:color w:val="464E56"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Normal"/>
    <w:rsid w:val="004C2780"/>
    <w:pPr>
      <w:spacing w:before="240" w:after="660"/>
    </w:pPr>
    <w:rPr>
      <w:b/>
      <w:color w:val="000000" w:themeColor="text1"/>
      <w:sz w:val="60"/>
    </w:rPr>
  </w:style>
  <w:style w:type="paragraph" w:styleId="ListParagraph">
    <w:name w:val="List Paragraph"/>
    <w:basedOn w:val="Normal"/>
    <w:uiPriority w:val="34"/>
    <w:semiHidden/>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basedOn w:val="DefaultParagraphFont"/>
    <w:link w:val="Heading1"/>
    <w:uiPriority w:val="9"/>
    <w:rsid w:val="00753150"/>
    <w:rPr>
      <w:rFonts w:ascii="Arial" w:eastAsiaTheme="majorEastAsia" w:hAnsi="Arial" w:cstheme="majorBidi"/>
      <w:bCs/>
      <w:color w:val="393C71" w:themeColor="accent1"/>
      <w:sz w:val="64"/>
      <w:szCs w:val="28"/>
    </w:rPr>
  </w:style>
  <w:style w:type="character" w:customStyle="1" w:styleId="Heading2Char">
    <w:name w:val="Heading 2 Char"/>
    <w:basedOn w:val="DefaultParagraphFont"/>
    <w:link w:val="Heading2"/>
    <w:uiPriority w:val="9"/>
    <w:rsid w:val="002E5F5B"/>
    <w:rPr>
      <w:rFonts w:ascii="Arial" w:eastAsiaTheme="majorEastAsia" w:hAnsi="Arial" w:cstheme="majorBidi"/>
      <w:b/>
      <w:bCs/>
      <w:color w:val="393C71" w:themeColor="accent1"/>
      <w:sz w:val="30"/>
      <w:szCs w:val="26"/>
    </w:rPr>
  </w:style>
  <w:style w:type="character" w:customStyle="1" w:styleId="Heading3Char">
    <w:name w:val="Heading 3 Char"/>
    <w:basedOn w:val="DefaultParagraphFont"/>
    <w:link w:val="Heading3"/>
    <w:uiPriority w:val="9"/>
    <w:rsid w:val="0013662A"/>
    <w:rPr>
      <w:rFonts w:ascii="Arial" w:eastAsiaTheme="majorEastAsia" w:hAnsi="Arial" w:cstheme="majorBidi"/>
      <w:b/>
      <w:bCs/>
      <w:color w:val="393C71" w:themeColor="accent1"/>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464E56" w:themeColor="text2"/>
      <w:sz w:val="24"/>
    </w:rPr>
  </w:style>
  <w:style w:type="paragraph" w:styleId="TOCHeading">
    <w:name w:val="TOC Heading"/>
    <w:basedOn w:val="Heading1"/>
    <w:next w:val="Normal"/>
    <w:uiPriority w:val="39"/>
    <w:semiHidden/>
    <w:unhideWhenUsed/>
    <w:qFormat/>
    <w:rsid w:val="00981DA1"/>
    <w:pPr>
      <w:spacing w:after="0" w:line="276" w:lineRule="auto"/>
      <w:outlineLvl w:val="9"/>
    </w:pPr>
    <w:rPr>
      <w:rFonts w:asciiTheme="majorHAnsi" w:hAnsiTheme="majorHAnsi"/>
      <w:color w:val="2A2C54"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393C71" w:themeColor="accent1"/>
          <w:left w:val="nil"/>
          <w:bottom w:val="single" w:sz="8" w:space="0" w:color="393C71" w:themeColor="accent1"/>
          <w:right w:val="nil"/>
          <w:insideH w:val="nil"/>
          <w:insideV w:val="nil"/>
        </w:tcBorders>
      </w:tcPr>
    </w:tblStylePr>
    <w:tblStylePr w:type="lastRow">
      <w:pPr>
        <w:spacing w:before="0" w:after="0" w:line="240" w:lineRule="auto"/>
      </w:pPr>
      <w:rPr>
        <w:b/>
        <w:bCs/>
      </w:rPr>
      <w:tblPr/>
      <w:tcPr>
        <w:tcBorders>
          <w:top w:val="single" w:sz="8" w:space="0" w:color="393C71" w:themeColor="accent1"/>
          <w:left w:val="nil"/>
          <w:bottom w:val="single" w:sz="8" w:space="0" w:color="393C7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C8E3" w:themeFill="accent1" w:themeFillTint="3F"/>
      </w:tcPr>
    </w:tblStylePr>
    <w:tblStylePr w:type="band1Horz">
      <w:tblPr/>
      <w:tcPr>
        <w:tcBorders>
          <w:left w:val="nil"/>
          <w:right w:val="nil"/>
          <w:insideH w:val="nil"/>
          <w:insideV w:val="nil"/>
        </w:tcBorders>
        <w:shd w:val="clear" w:color="auto" w:fill="393C71"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393C71" w:themeColor="accent1"/>
        <w:left w:val="single" w:sz="8" w:space="0" w:color="393C71" w:themeColor="accent1"/>
        <w:bottom w:val="single" w:sz="8" w:space="0" w:color="393C71" w:themeColor="accent1"/>
        <w:right w:val="single" w:sz="8" w:space="0" w:color="393C71" w:themeColor="accent1"/>
      </w:tblBorders>
    </w:tblPr>
    <w:tblStylePr w:type="firstRow">
      <w:pPr>
        <w:spacing w:before="0" w:after="0" w:line="240" w:lineRule="auto"/>
      </w:pPr>
      <w:rPr>
        <w:b/>
        <w:bCs/>
        <w:color w:val="FFFFFF" w:themeColor="background1"/>
      </w:rPr>
      <w:tblPr/>
      <w:tcPr>
        <w:shd w:val="clear" w:color="auto" w:fill="393C71" w:themeFill="accent1"/>
      </w:tcPr>
    </w:tblStylePr>
    <w:tblStylePr w:type="lastRow">
      <w:pPr>
        <w:spacing w:before="0" w:after="0" w:line="240" w:lineRule="auto"/>
      </w:pPr>
      <w:rPr>
        <w:b/>
        <w:bCs/>
      </w:rPr>
      <w:tblPr/>
      <w:tcPr>
        <w:tcBorders>
          <w:top w:val="double" w:sz="6" w:space="0" w:color="393C71" w:themeColor="accent1"/>
          <w:left w:val="single" w:sz="8" w:space="0" w:color="393C71" w:themeColor="accent1"/>
          <w:bottom w:val="single" w:sz="8" w:space="0" w:color="393C71" w:themeColor="accent1"/>
          <w:right w:val="single" w:sz="8" w:space="0" w:color="393C71" w:themeColor="accent1"/>
        </w:tcBorders>
      </w:tcPr>
    </w:tblStylePr>
    <w:tblStylePr w:type="firstCol">
      <w:rPr>
        <w:b/>
        <w:bCs/>
      </w:rPr>
    </w:tblStylePr>
    <w:tblStylePr w:type="lastCol">
      <w:rPr>
        <w:b/>
        <w:bCs/>
      </w:rPr>
    </w:tblStylePr>
    <w:tblStylePr w:type="band1Vert">
      <w:tblPr/>
      <w:tcPr>
        <w:tcBorders>
          <w:top w:val="single" w:sz="8" w:space="0" w:color="393C71" w:themeColor="accent1"/>
          <w:left w:val="single" w:sz="8" w:space="0" w:color="393C71" w:themeColor="accent1"/>
          <w:bottom w:val="single" w:sz="8" w:space="0" w:color="393C71" w:themeColor="accent1"/>
          <w:right w:val="single" w:sz="8" w:space="0" w:color="393C71" w:themeColor="accent1"/>
        </w:tcBorders>
      </w:tcPr>
    </w:tblStylePr>
    <w:tblStylePr w:type="band1Horz">
      <w:tblPr/>
      <w:tcPr>
        <w:tcBorders>
          <w:top w:val="single" w:sz="8" w:space="0" w:color="393C71" w:themeColor="accent1"/>
          <w:left w:val="single" w:sz="8" w:space="0" w:color="393C71" w:themeColor="accent1"/>
          <w:bottom w:val="single" w:sz="8" w:space="0" w:color="393C71" w:themeColor="accent1"/>
          <w:right w:val="single" w:sz="8" w:space="0" w:color="393C71" w:themeColor="accent1"/>
        </w:tcBorders>
      </w:tcPr>
    </w:tblStylePr>
  </w:style>
  <w:style w:type="table" w:styleId="LightShading-Accent1">
    <w:name w:val="Light Shading Accent 1"/>
    <w:basedOn w:val="TableNormal"/>
    <w:uiPriority w:val="60"/>
    <w:rsid w:val="001F68E9"/>
    <w:pPr>
      <w:spacing w:after="0" w:line="240" w:lineRule="auto"/>
    </w:pPr>
    <w:rPr>
      <w:color w:val="2A2C54" w:themeColor="accent1" w:themeShade="BF"/>
    </w:rPr>
    <w:tblPr>
      <w:tblStyleRowBandSize w:val="1"/>
      <w:tblStyleColBandSize w:val="1"/>
      <w:tblBorders>
        <w:top w:val="single" w:sz="8" w:space="0" w:color="393C71" w:themeColor="accent1"/>
        <w:bottom w:val="single" w:sz="8" w:space="0" w:color="393C71" w:themeColor="accent1"/>
      </w:tblBorders>
    </w:tblPr>
    <w:tblStylePr w:type="firstRow">
      <w:pPr>
        <w:spacing w:before="0" w:after="0" w:line="240" w:lineRule="auto"/>
      </w:pPr>
      <w:rPr>
        <w:b/>
        <w:bCs/>
      </w:rPr>
      <w:tblPr/>
      <w:tcPr>
        <w:tcBorders>
          <w:top w:val="single" w:sz="8" w:space="0" w:color="393C71" w:themeColor="accent1"/>
          <w:left w:val="nil"/>
          <w:bottom w:val="single" w:sz="8" w:space="0" w:color="393C71" w:themeColor="accent1"/>
          <w:right w:val="nil"/>
          <w:insideH w:val="nil"/>
          <w:insideV w:val="nil"/>
        </w:tcBorders>
      </w:tcPr>
    </w:tblStylePr>
    <w:tblStylePr w:type="lastRow">
      <w:pPr>
        <w:spacing w:before="0" w:after="0" w:line="240" w:lineRule="auto"/>
      </w:pPr>
      <w:rPr>
        <w:b/>
        <w:bCs/>
      </w:rPr>
      <w:tblPr/>
      <w:tcPr>
        <w:tcBorders>
          <w:top w:val="single" w:sz="8" w:space="0" w:color="393C71" w:themeColor="accent1"/>
          <w:left w:val="nil"/>
          <w:bottom w:val="single" w:sz="8" w:space="0" w:color="393C7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C8E3" w:themeFill="accent1" w:themeFillTint="3F"/>
      </w:tcPr>
    </w:tblStylePr>
    <w:tblStylePr w:type="band1Horz">
      <w:tblPr/>
      <w:tcPr>
        <w:tcBorders>
          <w:left w:val="nil"/>
          <w:right w:val="nil"/>
          <w:insideH w:val="nil"/>
          <w:insideV w:val="nil"/>
        </w:tcBorders>
        <w:shd w:val="clear" w:color="auto" w:fill="C7C8E3"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393C71" w:themeFill="accent1"/>
      </w:tcPr>
    </w:tblStylePr>
    <w:tblStylePr w:type="lastRow">
      <w:pPr>
        <w:spacing w:before="0" w:after="0" w:line="240" w:lineRule="auto"/>
      </w:pPr>
      <w:rPr>
        <w:b/>
        <w:bCs/>
      </w:rPr>
      <w:tblPr/>
      <w:tcPr>
        <w:tcBorders>
          <w:top w:val="double" w:sz="6" w:space="0" w:color="393C71" w:themeColor="accent1"/>
          <w:left w:val="single" w:sz="8" w:space="0" w:color="393C71" w:themeColor="accent1"/>
          <w:bottom w:val="single" w:sz="8" w:space="0" w:color="393C71" w:themeColor="accent1"/>
          <w:right w:val="single" w:sz="8" w:space="0" w:color="393C71" w:themeColor="accent1"/>
        </w:tcBorders>
      </w:tcPr>
    </w:tblStylePr>
    <w:tblStylePr w:type="firstCol">
      <w:rPr>
        <w:b/>
        <w:bCs/>
      </w:rPr>
    </w:tblStylePr>
    <w:tblStylePr w:type="lastCol">
      <w:rPr>
        <w:b/>
        <w:bCs/>
      </w:rPr>
    </w:tblStylePr>
    <w:tblStylePr w:type="band1Vert">
      <w:tblPr/>
      <w:tcPr>
        <w:tcBorders>
          <w:top w:val="single" w:sz="8" w:space="0" w:color="393C71" w:themeColor="accent1"/>
          <w:left w:val="single" w:sz="8" w:space="0" w:color="393C71" w:themeColor="accent1"/>
          <w:bottom w:val="single" w:sz="8" w:space="0" w:color="393C71" w:themeColor="accent1"/>
          <w:right w:val="single" w:sz="8" w:space="0" w:color="393C71" w:themeColor="accent1"/>
        </w:tcBorders>
      </w:tcPr>
    </w:tblStylePr>
    <w:tblStylePr w:type="band1Horz">
      <w:tblPr/>
      <w:tcPr>
        <w:tcBorders>
          <w:top w:val="single" w:sz="8" w:space="0" w:color="393C71" w:themeColor="accent1"/>
          <w:left w:val="single" w:sz="8" w:space="0" w:color="393C71" w:themeColor="accent1"/>
          <w:bottom w:val="single" w:sz="8" w:space="0" w:color="393C71" w:themeColor="accent1"/>
          <w:right w:val="single" w:sz="8" w:space="0" w:color="393C71"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393C71" w:themeColor="accent1"/>
        <w:left w:val="single" w:sz="8" w:space="0" w:color="393C71" w:themeColor="accent1"/>
        <w:bottom w:val="single" w:sz="8" w:space="0" w:color="393C71" w:themeColor="accent1"/>
        <w:right w:val="single" w:sz="8" w:space="0" w:color="393C71" w:themeColor="accent1"/>
        <w:insideH w:val="single" w:sz="8" w:space="0" w:color="393C71" w:themeColor="accent1"/>
        <w:insideV w:val="single" w:sz="8" w:space="0" w:color="393C7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93C71" w:themeColor="accent1"/>
          <w:left w:val="single" w:sz="8" w:space="0" w:color="393C71" w:themeColor="accent1"/>
          <w:bottom w:val="single" w:sz="18" w:space="0" w:color="393C71" w:themeColor="accent1"/>
          <w:right w:val="single" w:sz="8" w:space="0" w:color="393C71" w:themeColor="accent1"/>
          <w:insideH w:val="nil"/>
          <w:insideV w:val="single" w:sz="8" w:space="0" w:color="393C7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93C71" w:themeColor="accent1"/>
          <w:left w:val="single" w:sz="8" w:space="0" w:color="393C71" w:themeColor="accent1"/>
          <w:bottom w:val="single" w:sz="8" w:space="0" w:color="393C71" w:themeColor="accent1"/>
          <w:right w:val="single" w:sz="8" w:space="0" w:color="393C71" w:themeColor="accent1"/>
          <w:insideH w:val="nil"/>
          <w:insideV w:val="single" w:sz="8" w:space="0" w:color="393C7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93C71" w:themeColor="accent1"/>
          <w:left w:val="single" w:sz="8" w:space="0" w:color="393C71" w:themeColor="accent1"/>
          <w:bottom w:val="single" w:sz="8" w:space="0" w:color="393C71" w:themeColor="accent1"/>
          <w:right w:val="single" w:sz="8" w:space="0" w:color="393C71" w:themeColor="accent1"/>
        </w:tcBorders>
      </w:tcPr>
    </w:tblStylePr>
    <w:tblStylePr w:type="band1Vert">
      <w:tblPr/>
      <w:tcPr>
        <w:tcBorders>
          <w:top w:val="single" w:sz="8" w:space="0" w:color="393C71" w:themeColor="accent1"/>
          <w:left w:val="single" w:sz="8" w:space="0" w:color="393C71" w:themeColor="accent1"/>
          <w:bottom w:val="single" w:sz="8" w:space="0" w:color="393C71" w:themeColor="accent1"/>
          <w:right w:val="single" w:sz="8" w:space="0" w:color="393C71" w:themeColor="accent1"/>
        </w:tcBorders>
        <w:shd w:val="clear" w:color="auto" w:fill="C7C8E3" w:themeFill="accent1" w:themeFillTint="3F"/>
      </w:tcPr>
    </w:tblStylePr>
    <w:tblStylePr w:type="band1Horz">
      <w:tblPr/>
      <w:tcPr>
        <w:tcBorders>
          <w:top w:val="single" w:sz="8" w:space="0" w:color="393C71" w:themeColor="accent1"/>
          <w:left w:val="single" w:sz="8" w:space="0" w:color="393C71" w:themeColor="accent1"/>
          <w:bottom w:val="single" w:sz="8" w:space="0" w:color="393C71" w:themeColor="accent1"/>
          <w:right w:val="single" w:sz="8" w:space="0" w:color="393C71" w:themeColor="accent1"/>
          <w:insideV w:val="single" w:sz="8" w:space="0" w:color="393C71" w:themeColor="accent1"/>
        </w:tcBorders>
        <w:shd w:val="clear" w:color="auto" w:fill="C7C8E3" w:themeFill="accent1" w:themeFillTint="3F"/>
      </w:tcPr>
    </w:tblStylePr>
    <w:tblStylePr w:type="band2Horz">
      <w:tblPr/>
      <w:tcPr>
        <w:tcBorders>
          <w:top w:val="single" w:sz="8" w:space="0" w:color="393C71" w:themeColor="accent1"/>
          <w:left w:val="single" w:sz="8" w:space="0" w:color="393C71" w:themeColor="accent1"/>
          <w:bottom w:val="single" w:sz="8" w:space="0" w:color="393C71" w:themeColor="accent1"/>
          <w:right w:val="single" w:sz="8" w:space="0" w:color="393C71" w:themeColor="accent1"/>
          <w:insideV w:val="single" w:sz="8" w:space="0" w:color="393C71"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393C71" w:themeColor="accent1"/>
          <w:left w:val="single" w:sz="8" w:space="0" w:color="393C71" w:themeColor="accent1"/>
          <w:bottom w:val="single" w:sz="18" w:space="0" w:color="393C71" w:themeColor="accent1"/>
          <w:right w:val="single" w:sz="8" w:space="0" w:color="393C71" w:themeColor="accent1"/>
          <w:insideH w:val="nil"/>
          <w:insideV w:val="single" w:sz="8" w:space="0" w:color="393C7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93C71" w:themeColor="accent1"/>
          <w:left w:val="single" w:sz="8" w:space="0" w:color="393C71" w:themeColor="accent1"/>
          <w:bottom w:val="single" w:sz="8" w:space="0" w:color="393C71" w:themeColor="accent1"/>
          <w:right w:val="single" w:sz="8" w:space="0" w:color="393C71" w:themeColor="accent1"/>
          <w:insideH w:val="nil"/>
          <w:insideV w:val="single" w:sz="8" w:space="0" w:color="393C7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93C71" w:themeColor="accent1"/>
          <w:left w:val="single" w:sz="8" w:space="0" w:color="393C71" w:themeColor="accent1"/>
          <w:bottom w:val="single" w:sz="8" w:space="0" w:color="393C71" w:themeColor="accent1"/>
          <w:right w:val="single" w:sz="8" w:space="0" w:color="393C71" w:themeColor="accent1"/>
        </w:tcBorders>
      </w:tcPr>
    </w:tblStylePr>
    <w:tblStylePr w:type="band1Vert">
      <w:tblPr/>
      <w:tcPr>
        <w:tcBorders>
          <w:top w:val="single" w:sz="8" w:space="0" w:color="393C71" w:themeColor="accent1"/>
          <w:left w:val="single" w:sz="8" w:space="0" w:color="393C71" w:themeColor="accent1"/>
          <w:bottom w:val="single" w:sz="8" w:space="0" w:color="393C71" w:themeColor="accent1"/>
          <w:right w:val="single" w:sz="8" w:space="0" w:color="393C71" w:themeColor="accent1"/>
        </w:tcBorders>
        <w:shd w:val="clear" w:color="auto" w:fill="C7C8E3" w:themeFill="accent1" w:themeFillTint="3F"/>
      </w:tcPr>
    </w:tblStylePr>
    <w:tblStylePr w:type="band1Horz">
      <w:tblPr/>
      <w:tcPr>
        <w:tcBorders>
          <w:top w:val="single" w:sz="8" w:space="0" w:color="393C71" w:themeColor="accent1"/>
          <w:left w:val="single" w:sz="8" w:space="0" w:color="393C71" w:themeColor="accent1"/>
          <w:bottom w:val="single" w:sz="8" w:space="0" w:color="393C71" w:themeColor="accent1"/>
          <w:right w:val="single" w:sz="8" w:space="0" w:color="393C71" w:themeColor="accent1"/>
          <w:insideV w:val="single" w:sz="8" w:space="0" w:color="393C71" w:themeColor="accent1"/>
        </w:tcBorders>
        <w:shd w:val="clear" w:color="auto" w:fill="393C71" w:themeFill="accent2"/>
      </w:tcPr>
    </w:tblStylePr>
    <w:tblStylePr w:type="band2Horz">
      <w:tblPr/>
      <w:tcPr>
        <w:tcBorders>
          <w:top w:val="single" w:sz="8" w:space="0" w:color="393C71" w:themeColor="accent1"/>
          <w:left w:val="single" w:sz="8" w:space="0" w:color="393C71" w:themeColor="accent1"/>
          <w:bottom w:val="single" w:sz="8" w:space="0" w:color="393C71" w:themeColor="accent1"/>
          <w:right w:val="single" w:sz="8" w:space="0" w:color="393C71" w:themeColor="accent1"/>
          <w:insideV w:val="single" w:sz="8" w:space="0" w:color="393C71"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5559A9" w:themeColor="accent1" w:themeTint="BF"/>
        <w:left w:val="single" w:sz="8" w:space="0" w:color="5559A9" w:themeColor="accent1" w:themeTint="BF"/>
        <w:bottom w:val="single" w:sz="8" w:space="0" w:color="5559A9" w:themeColor="accent1" w:themeTint="BF"/>
        <w:right w:val="single" w:sz="8" w:space="0" w:color="5559A9" w:themeColor="accent1" w:themeTint="BF"/>
        <w:insideH w:val="single" w:sz="8" w:space="0" w:color="5559A9" w:themeColor="accent1" w:themeTint="BF"/>
      </w:tblBorders>
    </w:tblPr>
    <w:tblStylePr w:type="firstRow">
      <w:pPr>
        <w:spacing w:before="0" w:after="0" w:line="240" w:lineRule="auto"/>
      </w:pPr>
      <w:rPr>
        <w:b/>
        <w:bCs/>
        <w:color w:val="FFFFFF" w:themeColor="background1"/>
      </w:rPr>
      <w:tblPr/>
      <w:tcPr>
        <w:tcBorders>
          <w:top w:val="single" w:sz="8" w:space="0" w:color="5559A9" w:themeColor="accent1" w:themeTint="BF"/>
          <w:left w:val="single" w:sz="8" w:space="0" w:color="5559A9" w:themeColor="accent1" w:themeTint="BF"/>
          <w:bottom w:val="single" w:sz="8" w:space="0" w:color="5559A9" w:themeColor="accent1" w:themeTint="BF"/>
          <w:right w:val="single" w:sz="8" w:space="0" w:color="5559A9" w:themeColor="accent1" w:themeTint="BF"/>
          <w:insideH w:val="nil"/>
          <w:insideV w:val="nil"/>
        </w:tcBorders>
        <w:shd w:val="clear" w:color="auto" w:fill="393C71" w:themeFill="accent1"/>
      </w:tcPr>
    </w:tblStylePr>
    <w:tblStylePr w:type="lastRow">
      <w:pPr>
        <w:spacing w:before="0" w:after="0" w:line="240" w:lineRule="auto"/>
      </w:pPr>
      <w:rPr>
        <w:b/>
        <w:bCs/>
      </w:rPr>
      <w:tblPr/>
      <w:tcPr>
        <w:tcBorders>
          <w:top w:val="double" w:sz="6" w:space="0" w:color="5559A9" w:themeColor="accent1" w:themeTint="BF"/>
          <w:left w:val="single" w:sz="8" w:space="0" w:color="5559A9" w:themeColor="accent1" w:themeTint="BF"/>
          <w:bottom w:val="single" w:sz="8" w:space="0" w:color="5559A9" w:themeColor="accent1" w:themeTint="BF"/>
          <w:right w:val="single" w:sz="8" w:space="0" w:color="5559A9" w:themeColor="accent1" w:themeTint="BF"/>
          <w:insideH w:val="nil"/>
          <w:insideV w:val="nil"/>
        </w:tcBorders>
      </w:tcPr>
    </w:tblStylePr>
    <w:tblStylePr w:type="firstCol">
      <w:rPr>
        <w:b/>
        <w:bCs/>
      </w:rPr>
    </w:tblStylePr>
    <w:tblStylePr w:type="lastCol">
      <w:rPr>
        <w:b/>
        <w:bCs/>
      </w:rPr>
    </w:tblStylePr>
    <w:tblStylePr w:type="band1Vert">
      <w:tblPr/>
      <w:tcPr>
        <w:shd w:val="clear" w:color="auto" w:fill="C7C8E3" w:themeFill="accent1" w:themeFillTint="3F"/>
      </w:tcPr>
    </w:tblStylePr>
    <w:tblStylePr w:type="band1Horz">
      <w:tblPr/>
      <w:tcPr>
        <w:tcBorders>
          <w:insideH w:val="nil"/>
          <w:insideV w:val="nil"/>
        </w:tcBorders>
        <w:shd w:val="clear" w:color="auto" w:fill="C7C8E3"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5559A9" w:themeColor="accent1" w:themeTint="BF"/>
          <w:left w:val="single" w:sz="8" w:space="0" w:color="5559A9" w:themeColor="accent1" w:themeTint="BF"/>
          <w:bottom w:val="single" w:sz="8" w:space="0" w:color="5559A9" w:themeColor="accent1" w:themeTint="BF"/>
          <w:right w:val="single" w:sz="8" w:space="0" w:color="5559A9" w:themeColor="accent1" w:themeTint="BF"/>
          <w:insideH w:val="nil"/>
          <w:insideV w:val="nil"/>
        </w:tcBorders>
        <w:shd w:val="clear" w:color="auto" w:fill="393C71" w:themeFill="accent1"/>
      </w:tcPr>
    </w:tblStylePr>
    <w:tblStylePr w:type="lastRow">
      <w:pPr>
        <w:spacing w:before="0" w:after="0" w:line="240" w:lineRule="auto"/>
      </w:pPr>
      <w:rPr>
        <w:b/>
        <w:bCs/>
      </w:rPr>
      <w:tblPr/>
      <w:tcPr>
        <w:tcBorders>
          <w:top w:val="double" w:sz="6" w:space="0" w:color="5559A9" w:themeColor="accent1" w:themeTint="BF"/>
          <w:left w:val="single" w:sz="8" w:space="0" w:color="5559A9" w:themeColor="accent1" w:themeTint="BF"/>
          <w:bottom w:val="single" w:sz="8" w:space="0" w:color="5559A9" w:themeColor="accent1" w:themeTint="BF"/>
          <w:right w:val="single" w:sz="8" w:space="0" w:color="5559A9" w:themeColor="accent1" w:themeTint="BF"/>
          <w:insideH w:val="nil"/>
          <w:insideV w:val="nil"/>
        </w:tcBorders>
      </w:tcPr>
    </w:tblStylePr>
    <w:tblStylePr w:type="firstCol">
      <w:rPr>
        <w:b/>
        <w:bCs/>
      </w:rPr>
    </w:tblStylePr>
    <w:tblStylePr w:type="lastCol">
      <w:rPr>
        <w:b/>
        <w:bCs/>
      </w:rPr>
    </w:tblStylePr>
    <w:tblStylePr w:type="band1Vert">
      <w:tblPr/>
      <w:tcPr>
        <w:shd w:val="clear" w:color="auto" w:fill="C7C8E3"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393C71"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393C71" w:themeColor="accent1"/>
        <w:bottom w:val="single" w:sz="8" w:space="0" w:color="393C71" w:themeColor="accent1"/>
      </w:tblBorders>
    </w:tblPr>
    <w:tblStylePr w:type="firstRow">
      <w:rPr>
        <w:rFonts w:asciiTheme="majorHAnsi" w:eastAsiaTheme="majorEastAsia" w:hAnsiTheme="majorHAnsi" w:cstheme="majorBidi"/>
      </w:rPr>
      <w:tblPr/>
      <w:tcPr>
        <w:tcBorders>
          <w:top w:val="nil"/>
          <w:bottom w:val="single" w:sz="8" w:space="0" w:color="393C71" w:themeColor="accent1"/>
        </w:tcBorders>
      </w:tcPr>
    </w:tblStylePr>
    <w:tblStylePr w:type="lastRow">
      <w:rPr>
        <w:b/>
        <w:bCs/>
        <w:color w:val="464E56" w:themeColor="text2"/>
      </w:rPr>
      <w:tblPr/>
      <w:tcPr>
        <w:tcBorders>
          <w:top w:val="single" w:sz="8" w:space="0" w:color="393C71" w:themeColor="accent1"/>
          <w:bottom w:val="single" w:sz="8" w:space="0" w:color="393C71" w:themeColor="accent1"/>
        </w:tcBorders>
      </w:tcPr>
    </w:tblStylePr>
    <w:tblStylePr w:type="firstCol">
      <w:rPr>
        <w:b/>
        <w:bCs/>
      </w:rPr>
    </w:tblStylePr>
    <w:tblStylePr w:type="lastCol">
      <w:rPr>
        <w:b/>
        <w:bCs/>
      </w:rPr>
      <w:tblPr/>
      <w:tcPr>
        <w:tcBorders>
          <w:top w:val="single" w:sz="8" w:space="0" w:color="393C71" w:themeColor="accent1"/>
          <w:bottom w:val="single" w:sz="8" w:space="0" w:color="393C71" w:themeColor="accent1"/>
        </w:tcBorders>
      </w:tcPr>
    </w:tblStylePr>
    <w:tblStylePr w:type="band1Vert">
      <w:tblPr/>
      <w:tcPr>
        <w:shd w:val="clear" w:color="auto" w:fill="C7C8E3" w:themeFill="accent1" w:themeFillTint="3F"/>
      </w:tcPr>
    </w:tblStylePr>
    <w:tblStylePr w:type="band1Horz">
      <w:tblPr/>
      <w:tcPr>
        <w:shd w:val="clear" w:color="auto" w:fill="C7C8E3"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393C71" w:themeColor="accent1"/>
        </w:tcBorders>
      </w:tcPr>
    </w:tblStylePr>
    <w:tblStylePr w:type="lastRow">
      <w:rPr>
        <w:b/>
        <w:bCs/>
        <w:color w:val="464E56" w:themeColor="text2"/>
      </w:rPr>
      <w:tblPr/>
      <w:tcPr>
        <w:tcBorders>
          <w:top w:val="single" w:sz="8" w:space="0" w:color="393C71" w:themeColor="accent1"/>
          <w:bottom w:val="single" w:sz="8" w:space="0" w:color="393C71" w:themeColor="accent1"/>
        </w:tcBorders>
      </w:tcPr>
    </w:tblStylePr>
    <w:tblStylePr w:type="firstCol">
      <w:rPr>
        <w:b/>
        <w:bCs/>
      </w:rPr>
    </w:tblStylePr>
    <w:tblStylePr w:type="lastCol">
      <w:rPr>
        <w:b/>
        <w:bCs/>
      </w:rPr>
      <w:tblPr/>
      <w:tcPr>
        <w:tcBorders>
          <w:top w:val="single" w:sz="8" w:space="0" w:color="393C71" w:themeColor="accent1"/>
          <w:bottom w:val="single" w:sz="8" w:space="0" w:color="393C71" w:themeColor="accent1"/>
        </w:tcBorders>
      </w:tcPr>
    </w:tblStylePr>
    <w:tblStylePr w:type="band1Vert">
      <w:tblPr/>
      <w:tcPr>
        <w:shd w:val="clear" w:color="auto" w:fill="C7C8E3" w:themeFill="accent1" w:themeFillTint="3F"/>
      </w:tcPr>
    </w:tblStylePr>
    <w:tblStylePr w:type="band1Horz">
      <w:tblPr/>
      <w:tcPr>
        <w:shd w:val="clear" w:color="auto" w:fill="393C71"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393C71" w:themeColor="accent1"/>
          <w:right w:val="nil"/>
          <w:insideH w:val="nil"/>
          <w:insideV w:val="nil"/>
        </w:tcBorders>
        <w:shd w:val="clear" w:color="auto" w:fill="FFFFFF" w:themeFill="background1"/>
      </w:tcPr>
    </w:tblStylePr>
    <w:tblStylePr w:type="lastRow">
      <w:tblPr/>
      <w:tcPr>
        <w:tcBorders>
          <w:top w:val="single" w:sz="8" w:space="0" w:color="393C7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93C71" w:themeColor="accent1"/>
          <w:insideH w:val="nil"/>
          <w:insideV w:val="nil"/>
        </w:tcBorders>
        <w:shd w:val="clear" w:color="auto" w:fill="FFFFFF" w:themeFill="background1"/>
      </w:tcPr>
    </w:tblStylePr>
    <w:tblStylePr w:type="lastCol">
      <w:tblPr/>
      <w:tcPr>
        <w:tcBorders>
          <w:top w:val="nil"/>
          <w:left w:val="single" w:sz="8" w:space="0" w:color="393C7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C8E3" w:themeFill="accent1" w:themeFillTint="3F"/>
      </w:tcPr>
    </w:tblStylePr>
    <w:tblStylePr w:type="band1Horz">
      <w:tblPr/>
      <w:tcPr>
        <w:tcBorders>
          <w:top w:val="nil"/>
          <w:bottom w:val="nil"/>
          <w:insideH w:val="nil"/>
          <w:insideV w:val="nil"/>
        </w:tcBorders>
        <w:shd w:val="clear" w:color="auto" w:fill="393C71"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93C71" w:themeColor="accent1"/>
        <w:left w:val="single" w:sz="8" w:space="0" w:color="393C71" w:themeColor="accent1"/>
        <w:bottom w:val="single" w:sz="8" w:space="0" w:color="393C71" w:themeColor="accent1"/>
        <w:right w:val="single" w:sz="8" w:space="0" w:color="393C71" w:themeColor="accent1"/>
      </w:tblBorders>
    </w:tblPr>
    <w:tblStylePr w:type="firstRow">
      <w:rPr>
        <w:sz w:val="24"/>
        <w:szCs w:val="24"/>
      </w:rPr>
      <w:tblPr/>
      <w:tcPr>
        <w:tcBorders>
          <w:top w:val="nil"/>
          <w:left w:val="nil"/>
          <w:bottom w:val="single" w:sz="24" w:space="0" w:color="393C71" w:themeColor="accent1"/>
          <w:right w:val="nil"/>
          <w:insideH w:val="nil"/>
          <w:insideV w:val="nil"/>
        </w:tcBorders>
        <w:shd w:val="clear" w:color="auto" w:fill="FFFFFF" w:themeFill="background1"/>
      </w:tcPr>
    </w:tblStylePr>
    <w:tblStylePr w:type="lastRow">
      <w:tblPr/>
      <w:tcPr>
        <w:tcBorders>
          <w:top w:val="single" w:sz="8" w:space="0" w:color="393C7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93C71" w:themeColor="accent1"/>
          <w:insideH w:val="nil"/>
          <w:insideV w:val="nil"/>
        </w:tcBorders>
        <w:shd w:val="clear" w:color="auto" w:fill="FFFFFF" w:themeFill="background1"/>
      </w:tcPr>
    </w:tblStylePr>
    <w:tblStylePr w:type="lastCol">
      <w:tblPr/>
      <w:tcPr>
        <w:tcBorders>
          <w:top w:val="nil"/>
          <w:left w:val="single" w:sz="8" w:space="0" w:color="393C7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C8E3" w:themeFill="accent1" w:themeFillTint="3F"/>
      </w:tcPr>
    </w:tblStylePr>
    <w:tblStylePr w:type="band1Horz">
      <w:tblPr/>
      <w:tcPr>
        <w:tcBorders>
          <w:top w:val="nil"/>
          <w:bottom w:val="nil"/>
          <w:insideH w:val="nil"/>
          <w:insideV w:val="nil"/>
        </w:tcBorders>
        <w:shd w:val="clear" w:color="auto" w:fill="C7C8E3"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itleHeader">
    <w:name w:val="Title Header"/>
    <w:basedOn w:val="Normal"/>
    <w:next w:val="Normal"/>
    <w:uiPriority w:val="99"/>
    <w:rsid w:val="00F647BD"/>
    <w:pPr>
      <w:suppressAutoHyphens/>
      <w:autoSpaceDE w:val="0"/>
      <w:autoSpaceDN w:val="0"/>
      <w:adjustRightInd w:val="0"/>
      <w:spacing w:before="113" w:after="680" w:line="680" w:lineRule="atLeast"/>
      <w:textAlignment w:val="center"/>
    </w:pPr>
    <w:rPr>
      <w:rFonts w:ascii="Arial MT Std" w:hAnsi="Arial MT Std" w:cs="Arial MT Std"/>
      <w:color w:val="006D00"/>
      <w:sz w:val="64"/>
      <w:szCs w:val="64"/>
      <w:lang w:val="en-GB"/>
    </w:rPr>
  </w:style>
  <w:style w:type="paragraph" w:customStyle="1" w:styleId="Bodycopy">
    <w:name w:val="Body copy"/>
    <w:basedOn w:val="Normal"/>
    <w:uiPriority w:val="99"/>
    <w:rsid w:val="00F647BD"/>
    <w:pPr>
      <w:suppressAutoHyphens/>
      <w:autoSpaceDE w:val="0"/>
      <w:autoSpaceDN w:val="0"/>
      <w:adjustRightInd w:val="0"/>
      <w:spacing w:after="142" w:line="290" w:lineRule="atLeast"/>
      <w:textAlignment w:val="center"/>
    </w:pPr>
    <w:rPr>
      <w:rFonts w:ascii="Arial MT Std" w:hAnsi="Arial MT Std" w:cs="Arial MT Std"/>
      <w:color w:val="000000"/>
      <w:szCs w:val="24"/>
      <w:lang w:val="en-GB"/>
    </w:rPr>
  </w:style>
  <w:style w:type="paragraph" w:customStyle="1" w:styleId="Subhead1">
    <w:name w:val="Sub head 1"/>
    <w:basedOn w:val="Normal"/>
    <w:uiPriority w:val="99"/>
    <w:rsid w:val="00F647BD"/>
    <w:pPr>
      <w:suppressAutoHyphens/>
      <w:autoSpaceDE w:val="0"/>
      <w:autoSpaceDN w:val="0"/>
      <w:adjustRightInd w:val="0"/>
      <w:spacing w:before="170" w:line="340" w:lineRule="atLeast"/>
      <w:textAlignment w:val="center"/>
    </w:pPr>
    <w:rPr>
      <w:rFonts w:ascii="Arial MT Std" w:hAnsi="Arial MT Std" w:cs="Arial MT Std"/>
      <w:b/>
      <w:bCs/>
      <w:color w:val="006D00"/>
      <w:sz w:val="30"/>
      <w:szCs w:val="30"/>
      <w:lang w:val="en-GB"/>
    </w:rPr>
  </w:style>
  <w:style w:type="paragraph" w:customStyle="1" w:styleId="Subhead2">
    <w:name w:val="Sub head 2"/>
    <w:basedOn w:val="Normal"/>
    <w:uiPriority w:val="99"/>
    <w:rsid w:val="00F647BD"/>
    <w:pPr>
      <w:suppressAutoHyphens/>
      <w:autoSpaceDE w:val="0"/>
      <w:autoSpaceDN w:val="0"/>
      <w:adjustRightInd w:val="0"/>
      <w:spacing w:before="57" w:after="142" w:line="300" w:lineRule="atLeast"/>
      <w:textAlignment w:val="center"/>
    </w:pPr>
    <w:rPr>
      <w:rFonts w:ascii="Arial MT Std" w:hAnsi="Arial MT Std" w:cs="Arial MT Std"/>
      <w:b/>
      <w:bCs/>
      <w:color w:val="006D00"/>
      <w:sz w:val="26"/>
      <w:szCs w:val="26"/>
      <w:lang w:val="en-GB"/>
    </w:rPr>
  </w:style>
  <w:style w:type="paragraph" w:styleId="Header">
    <w:name w:val="header"/>
    <w:basedOn w:val="Normal"/>
    <w:link w:val="HeaderChar"/>
    <w:uiPriority w:val="99"/>
    <w:semiHidden/>
    <w:rsid w:val="0013662A"/>
    <w:pPr>
      <w:tabs>
        <w:tab w:val="center" w:pos="4513"/>
        <w:tab w:val="right" w:pos="9026"/>
      </w:tabs>
      <w:spacing w:after="0"/>
    </w:pPr>
  </w:style>
  <w:style w:type="character" w:customStyle="1" w:styleId="HeaderChar">
    <w:name w:val="Header Char"/>
    <w:basedOn w:val="DefaultParagraphFont"/>
    <w:link w:val="Header"/>
    <w:uiPriority w:val="99"/>
    <w:semiHidden/>
    <w:rsid w:val="0013662A"/>
    <w:rPr>
      <w:rFonts w:ascii="Arial" w:hAnsi="Arial"/>
      <w:sz w:val="24"/>
    </w:rPr>
  </w:style>
  <w:style w:type="paragraph" w:styleId="Footer">
    <w:name w:val="footer"/>
    <w:basedOn w:val="Normal"/>
    <w:link w:val="FooterChar"/>
    <w:uiPriority w:val="99"/>
    <w:semiHidden/>
    <w:rsid w:val="0013662A"/>
    <w:pPr>
      <w:tabs>
        <w:tab w:val="center" w:pos="4513"/>
        <w:tab w:val="right" w:pos="9026"/>
      </w:tabs>
      <w:spacing w:after="0"/>
    </w:pPr>
  </w:style>
  <w:style w:type="character" w:customStyle="1" w:styleId="FooterChar">
    <w:name w:val="Footer Char"/>
    <w:basedOn w:val="DefaultParagraphFont"/>
    <w:link w:val="Footer"/>
    <w:uiPriority w:val="99"/>
    <w:semiHidden/>
    <w:rsid w:val="0013662A"/>
    <w:rPr>
      <w:rFonts w:ascii="Arial" w:hAnsi="Arial"/>
      <w:sz w:val="24"/>
    </w:rPr>
  </w:style>
  <w:style w:type="paragraph" w:customStyle="1" w:styleId="TEXT">
    <w:name w:val="TEXT"/>
    <w:basedOn w:val="Normal"/>
    <w:uiPriority w:val="99"/>
    <w:rsid w:val="009B0844"/>
    <w:pPr>
      <w:widowControl w:val="0"/>
      <w:suppressAutoHyphens/>
      <w:autoSpaceDE w:val="0"/>
      <w:autoSpaceDN w:val="0"/>
      <w:adjustRightInd w:val="0"/>
      <w:spacing w:after="113" w:line="280" w:lineRule="atLeast"/>
      <w:textAlignment w:val="center"/>
    </w:pPr>
    <w:rPr>
      <w:rFonts w:ascii="ArialMTStd" w:eastAsia="Calibri" w:hAnsi="ArialMTStd" w:cs="ArialMTStd"/>
      <w:color w:val="000000"/>
      <w:szCs w:val="24"/>
      <w:lang w:val="en-GB"/>
    </w:rPr>
  </w:style>
  <w:style w:type="character" w:styleId="PlaceholderText">
    <w:name w:val="Placeholder Text"/>
    <w:basedOn w:val="DefaultParagraphFont"/>
    <w:uiPriority w:val="99"/>
    <w:semiHidden/>
    <w:rsid w:val="00882643"/>
    <w:rPr>
      <w:color w:val="808080"/>
    </w:rPr>
  </w:style>
  <w:style w:type="paragraph" w:styleId="BodyText">
    <w:name w:val="Body Text"/>
    <w:basedOn w:val="Normal"/>
    <w:link w:val="BodyTextChar"/>
    <w:uiPriority w:val="1"/>
    <w:qFormat/>
    <w:rsid w:val="0093743B"/>
    <w:pPr>
      <w:widowControl w:val="0"/>
      <w:autoSpaceDE w:val="0"/>
      <w:autoSpaceDN w:val="0"/>
      <w:adjustRightInd w:val="0"/>
      <w:spacing w:after="0"/>
    </w:pPr>
    <w:rPr>
      <w:rFonts w:eastAsiaTheme="minorEastAsia" w:cs="Arial"/>
      <w:sz w:val="22"/>
      <w:lang w:eastAsia="en-AU"/>
    </w:rPr>
  </w:style>
  <w:style w:type="character" w:customStyle="1" w:styleId="BodyTextChar">
    <w:name w:val="Body Text Char"/>
    <w:basedOn w:val="DefaultParagraphFont"/>
    <w:link w:val="BodyText"/>
    <w:uiPriority w:val="1"/>
    <w:rsid w:val="0093743B"/>
    <w:rPr>
      <w:rFonts w:ascii="Arial" w:eastAsiaTheme="minorEastAsia" w:hAnsi="Arial" w:cs="Arial"/>
      <w:lang w:eastAsia="en-AU"/>
    </w:rPr>
  </w:style>
  <w:style w:type="character" w:styleId="FollowedHyperlink">
    <w:name w:val="FollowedHyperlink"/>
    <w:basedOn w:val="DefaultParagraphFont"/>
    <w:uiPriority w:val="99"/>
    <w:semiHidden/>
    <w:rsid w:val="007A7BA9"/>
    <w:rPr>
      <w:color w:val="095489" w:themeColor="followedHyperlink"/>
      <w:u w:val="single"/>
    </w:rPr>
  </w:style>
  <w:style w:type="paragraph" w:customStyle="1" w:styleId="Default">
    <w:name w:val="Default"/>
    <w:rsid w:val="00392D9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32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healthywa.wa.gov.au/Articles/A_E/Cannabis"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2.health.wa.gov.au/Articles/A_E/Cannabis-based-products" TargetMode="External"/><Relationship Id="rId17" Type="http://schemas.openxmlformats.org/officeDocument/2006/relationships/hyperlink" Target="mailto:MPRB@health.wa.gov.au" TargetMode="External"/><Relationship Id="rId2" Type="http://schemas.openxmlformats.org/officeDocument/2006/relationships/styles" Target="styles.xml"/><Relationship Id="rId16" Type="http://schemas.openxmlformats.org/officeDocument/2006/relationships/hyperlink" Target="https://ww2.health.wa.gov.au/Articles/N_R/Pharmaceutical-Services-Branch"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2.health.wa.gov.au/~/media/Files/Corporate/general%20documents/medicines%20and%20poisons/Word/Schedule-8-Medicines-Prescribing-Code.docx" TargetMode="External"/><Relationship Id="rId5" Type="http://schemas.openxmlformats.org/officeDocument/2006/relationships/webSettings" Target="webSettings.xml"/><Relationship Id="rId15" Type="http://schemas.openxmlformats.org/officeDocument/2006/relationships/hyperlink" Target="https://www.odc.gov.au/manufacturers-and-suppliers-medicinal-cannabis-products" TargetMode="External"/><Relationship Id="rId10" Type="http://schemas.openxmlformats.org/officeDocument/2006/relationships/hyperlink" Target="https://www.tga.gov.au/authorised-prescriber-schem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ga.gov.au/form/special-access-scheme" TargetMode="External"/><Relationship Id="rId14" Type="http://schemas.openxmlformats.org/officeDocument/2006/relationships/hyperlink" Target="https://www.healthywa.wa.gov.a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Indigo PMS 5265 2014">
      <a:dk1>
        <a:srgbClr val="000000"/>
      </a:dk1>
      <a:lt1>
        <a:srgbClr val="FFFFFF"/>
      </a:lt1>
      <a:dk2>
        <a:srgbClr val="464E56"/>
      </a:dk2>
      <a:lt2>
        <a:srgbClr val="FFFFFF"/>
      </a:lt2>
      <a:accent1>
        <a:srgbClr val="393C71"/>
      </a:accent1>
      <a:accent2>
        <a:srgbClr val="393C71"/>
      </a:accent2>
      <a:accent3>
        <a:srgbClr val="393C71"/>
      </a:accent3>
      <a:accent4>
        <a:srgbClr val="393C71"/>
      </a:accent4>
      <a:accent5>
        <a:srgbClr val="393C71"/>
      </a:accent5>
      <a:accent6>
        <a:srgbClr val="393C71"/>
      </a:accent6>
      <a:hlink>
        <a:srgbClr val="095489"/>
      </a:hlink>
      <a:folHlink>
        <a:srgbClr val="09548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3920</Characters>
  <Application>Microsoft Office Word</Application>
  <DocSecurity>4</DocSecurity>
  <Lines>84</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2020-01-23T07:36:00Z</dcterms:created>
  <dcterms:modified xsi:type="dcterms:W3CDTF">2020-01-23T07:36:00Z</dcterms:modified>
</cp:coreProperties>
</file>