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7BD" w:rsidRDefault="000A7EAD" w:rsidP="002E5F5B">
      <w:pPr>
        <w:pStyle w:val="Heading1"/>
      </w:pPr>
      <w:r>
        <w:t xml:space="preserve">Scholarship </w:t>
      </w:r>
      <w:r w:rsidR="000A1B69">
        <w:t>a</w:t>
      </w:r>
      <w:r>
        <w:t xml:space="preserve">ppeal </w:t>
      </w:r>
      <w:r w:rsidR="000A1B69">
        <w:t>p</w:t>
      </w:r>
      <w:r>
        <w:t>rocess</w:t>
      </w:r>
    </w:p>
    <w:p w:rsidR="009658D5" w:rsidRDefault="00DC300B" w:rsidP="009658D5">
      <w:pPr>
        <w:pStyle w:val="Heading2"/>
        <w:rPr>
          <w:lang w:val="en-GB"/>
        </w:rPr>
      </w:pPr>
      <w:r>
        <w:rPr>
          <w:lang w:val="en-GB"/>
        </w:rPr>
        <w:t>Background</w:t>
      </w:r>
    </w:p>
    <w:p w:rsidR="006C048D" w:rsidRDefault="006C048D" w:rsidP="009658D5">
      <w:r>
        <w:t>WA Health</w:t>
      </w:r>
      <w:r w:rsidR="00B61DA5">
        <w:t>,</w:t>
      </w:r>
      <w:r>
        <w:t xml:space="preserve"> through the </w:t>
      </w:r>
      <w:r w:rsidR="003514C5">
        <w:t xml:space="preserve">Chief </w:t>
      </w:r>
      <w:r>
        <w:t>Nursing and Midwifery Office</w:t>
      </w:r>
      <w:r w:rsidR="00A30EF1">
        <w:t xml:space="preserve"> (</w:t>
      </w:r>
      <w:r w:rsidR="003514C5">
        <w:t>C</w:t>
      </w:r>
      <w:r w:rsidR="00A30EF1">
        <w:t>NM</w:t>
      </w:r>
      <w:r w:rsidR="003514C5">
        <w:t xml:space="preserve"> </w:t>
      </w:r>
      <w:r w:rsidR="00A30EF1">
        <w:t>O</w:t>
      </w:r>
      <w:r w:rsidR="003514C5">
        <w:t>ffice</w:t>
      </w:r>
      <w:r w:rsidR="00A30EF1">
        <w:t>)</w:t>
      </w:r>
      <w:r w:rsidR="00B61DA5">
        <w:t>,</w:t>
      </w:r>
      <w:r>
        <w:t xml:space="preserve"> offers financial assistance </w:t>
      </w:r>
      <w:r w:rsidR="00B61DA5">
        <w:t>via</w:t>
      </w:r>
      <w:r>
        <w:t xml:space="preserve"> initial registration </w:t>
      </w:r>
      <w:r w:rsidR="00B87191">
        <w:t>and</w:t>
      </w:r>
      <w:r>
        <w:t xml:space="preserve"> postgraduate scholarships</w:t>
      </w:r>
      <w:r w:rsidR="00DC300B">
        <w:t>. The</w:t>
      </w:r>
      <w:r>
        <w:t xml:space="preserve"> provision and allocation of financial assistance</w:t>
      </w:r>
      <w:r w:rsidR="00DC300B">
        <w:t xml:space="preserve"> is based on accountable and transparent processes as disclosed on the </w:t>
      </w:r>
      <w:r w:rsidR="003514C5">
        <w:t xml:space="preserve">Chief </w:t>
      </w:r>
      <w:r w:rsidR="00DC300B">
        <w:t xml:space="preserve">Nursing and Midwifery Office website. Scholarship applications are </w:t>
      </w:r>
      <w:r w:rsidR="005D7BAE">
        <w:t>assessed</w:t>
      </w:r>
      <w:r w:rsidR="00DC300B">
        <w:t xml:space="preserve"> on the information</w:t>
      </w:r>
      <w:r w:rsidR="00B61DA5">
        <w:t xml:space="preserve"> provided in the applicant’s </w:t>
      </w:r>
      <w:r w:rsidR="005D7BAE">
        <w:t>online application.</w:t>
      </w:r>
      <w:r w:rsidR="00DC300B">
        <w:t xml:space="preserve"> </w:t>
      </w:r>
    </w:p>
    <w:p w:rsidR="00DC300B" w:rsidRDefault="00DC300B" w:rsidP="009658D5">
      <w:r w:rsidRPr="00DC300B">
        <w:t>Scholarships are awarded, based on current and projected workforce requirements</w:t>
      </w:r>
      <w:r w:rsidR="00B61DA5">
        <w:t xml:space="preserve"> and</w:t>
      </w:r>
      <w:r w:rsidRPr="00DC300B">
        <w:t xml:space="preserve"> areas of high </w:t>
      </w:r>
      <w:r w:rsidRPr="005F54A2">
        <w:t>clinical</w:t>
      </w:r>
      <w:r w:rsidRPr="00DC300B">
        <w:t xml:space="preserve"> need</w:t>
      </w:r>
      <w:r w:rsidR="00DE7B68">
        <w:t>.</w:t>
      </w:r>
      <w:r>
        <w:t xml:space="preserve"> </w:t>
      </w:r>
      <w:r w:rsidR="00DE7B68">
        <w:t>P</w:t>
      </w:r>
      <w:r>
        <w:t xml:space="preserve">riority </w:t>
      </w:r>
      <w:r w:rsidR="00DE7B68">
        <w:t xml:space="preserve">is </w:t>
      </w:r>
      <w:r>
        <w:t>given to WA Health employees</w:t>
      </w:r>
      <w:r w:rsidR="00DE7B68">
        <w:t>.</w:t>
      </w:r>
    </w:p>
    <w:p w:rsidR="00B87191" w:rsidRPr="00DC300B" w:rsidRDefault="00DE7B68" w:rsidP="009658D5">
      <w:r>
        <w:t>Unsuccessful a</w:t>
      </w:r>
      <w:r w:rsidR="00B87191">
        <w:t xml:space="preserve">pplicants </w:t>
      </w:r>
      <w:r>
        <w:t>are able</w:t>
      </w:r>
      <w:r w:rsidR="00B87191">
        <w:t xml:space="preserve"> to appeal the decision</w:t>
      </w:r>
      <w:r w:rsidR="00A611B8">
        <w:t>.</w:t>
      </w:r>
      <w:r w:rsidR="00B87191">
        <w:t xml:space="preserve"> </w:t>
      </w:r>
      <w:r w:rsidR="00B87191" w:rsidRPr="00B87191">
        <w:t xml:space="preserve">The appeal application </w:t>
      </w:r>
      <w:r w:rsidR="00B87191" w:rsidRPr="005F54A2">
        <w:rPr>
          <w:b/>
          <w:i/>
        </w:rPr>
        <w:t>must</w:t>
      </w:r>
      <w:r w:rsidR="00B87191" w:rsidRPr="00B87191">
        <w:t xml:space="preserve"> be received</w:t>
      </w:r>
      <w:r w:rsidR="001C0AC1">
        <w:t xml:space="preserve"> by </w:t>
      </w:r>
      <w:r w:rsidR="003514C5">
        <w:t>C</w:t>
      </w:r>
      <w:r w:rsidR="001C0AC1">
        <w:t>NM</w:t>
      </w:r>
      <w:r w:rsidR="003514C5">
        <w:t xml:space="preserve"> </w:t>
      </w:r>
      <w:r w:rsidR="001C0AC1">
        <w:t>O</w:t>
      </w:r>
      <w:r w:rsidR="003514C5">
        <w:t>ffice</w:t>
      </w:r>
      <w:r w:rsidR="00B87191" w:rsidRPr="00B87191">
        <w:t xml:space="preserve"> within 30 days from the date</w:t>
      </w:r>
      <w:r w:rsidR="001C0AC1">
        <w:t xml:space="preserve"> of issue</w:t>
      </w:r>
      <w:r w:rsidR="00B61DA5">
        <w:t>,</w:t>
      </w:r>
      <w:r w:rsidR="001C0AC1">
        <w:t xml:space="preserve"> as disclosed on the </w:t>
      </w:r>
      <w:r w:rsidR="00B87191" w:rsidRPr="00B87191">
        <w:t xml:space="preserve">applicant’s letter of </w:t>
      </w:r>
      <w:r w:rsidR="00B61DA5">
        <w:t>outcome</w:t>
      </w:r>
      <w:r w:rsidR="001C0AC1">
        <w:t>.</w:t>
      </w:r>
      <w:r w:rsidR="0010416D">
        <w:t xml:space="preserve"> </w:t>
      </w:r>
    </w:p>
    <w:p w:rsidR="00DC300B" w:rsidRDefault="0026236E" w:rsidP="0026236E">
      <w:pPr>
        <w:pStyle w:val="Heading2"/>
        <w:rPr>
          <w:lang w:val="en-GB"/>
        </w:rPr>
      </w:pPr>
      <w:r w:rsidRPr="0026236E">
        <w:rPr>
          <w:lang w:val="en-GB"/>
        </w:rPr>
        <w:t xml:space="preserve">Process </w:t>
      </w:r>
    </w:p>
    <w:p w:rsidR="00A30EF1" w:rsidRDefault="00A30EF1" w:rsidP="006052FC">
      <w:pPr>
        <w:rPr>
          <w:lang w:val="en-GB"/>
        </w:rPr>
      </w:pPr>
      <w:r>
        <w:rPr>
          <w:lang w:val="en-GB"/>
        </w:rPr>
        <w:t>The process</w:t>
      </w:r>
      <w:r w:rsidR="00757FE7">
        <w:rPr>
          <w:lang w:val="en-GB"/>
        </w:rPr>
        <w:t xml:space="preserve"> for an appeal</w:t>
      </w:r>
      <w:r>
        <w:rPr>
          <w:lang w:val="en-GB"/>
        </w:rPr>
        <w:t xml:space="preserve"> is defined below:</w:t>
      </w:r>
    </w:p>
    <w:p w:rsidR="00A30EF1" w:rsidRDefault="00A30EF1" w:rsidP="00A30EF1">
      <w:pPr>
        <w:pStyle w:val="ListParagraph"/>
        <w:numPr>
          <w:ilvl w:val="0"/>
          <w:numId w:val="3"/>
        </w:numPr>
        <w:spacing w:after="0"/>
      </w:pPr>
      <w:r>
        <w:t>The applicant must request in writing, an application for appeal regarding the</w:t>
      </w:r>
      <w:r w:rsidR="00B61DA5">
        <w:t xml:space="preserve"> </w:t>
      </w:r>
      <w:r>
        <w:t xml:space="preserve">decision of a scholarship using the </w:t>
      </w:r>
      <w:r w:rsidR="00746DCD">
        <w:t xml:space="preserve">appropriate </w:t>
      </w:r>
      <w:r w:rsidR="00757FE7">
        <w:t>Scholarship A</w:t>
      </w:r>
      <w:r>
        <w:t xml:space="preserve">ppeal </w:t>
      </w:r>
      <w:r w:rsidR="00757FE7">
        <w:t>Application F</w:t>
      </w:r>
      <w:r>
        <w:t>orm</w:t>
      </w:r>
      <w:r w:rsidR="00B61DA5">
        <w:t>.</w:t>
      </w:r>
    </w:p>
    <w:p w:rsidR="00F83B26" w:rsidRPr="00032D86" w:rsidRDefault="00F83B26" w:rsidP="00A30EF1">
      <w:pPr>
        <w:pStyle w:val="ListParagraph"/>
        <w:rPr>
          <w:sz w:val="16"/>
          <w:szCs w:val="16"/>
        </w:rPr>
      </w:pPr>
    </w:p>
    <w:p w:rsidR="00746DCD" w:rsidRPr="00F83B26" w:rsidRDefault="00F83B26" w:rsidP="00757FE7">
      <w:pPr>
        <w:pStyle w:val="ListParagraph"/>
        <w:numPr>
          <w:ilvl w:val="0"/>
          <w:numId w:val="3"/>
        </w:numPr>
        <w:rPr>
          <w:lang w:val="en-GB"/>
        </w:rPr>
      </w:pPr>
      <w:r>
        <w:t>The</w:t>
      </w:r>
      <w:r w:rsidR="0026236E">
        <w:t xml:space="preserve"> appeal must be lodged</w:t>
      </w:r>
      <w:r w:rsidR="00746DCD">
        <w:t xml:space="preserve"> </w:t>
      </w:r>
      <w:r w:rsidR="00B61DA5">
        <w:t>with the</w:t>
      </w:r>
      <w:r w:rsidR="003514C5">
        <w:t xml:space="preserve"> C</w:t>
      </w:r>
      <w:r w:rsidR="005D7BAE">
        <w:t>NM</w:t>
      </w:r>
      <w:r w:rsidR="003514C5">
        <w:t xml:space="preserve"> </w:t>
      </w:r>
      <w:r w:rsidR="005D7BAE">
        <w:t>O</w:t>
      </w:r>
      <w:r w:rsidR="003514C5">
        <w:t>ffice</w:t>
      </w:r>
      <w:r w:rsidR="005D7BAE">
        <w:t xml:space="preserve"> </w:t>
      </w:r>
      <w:r w:rsidR="00746DCD">
        <w:t xml:space="preserve">via email </w:t>
      </w:r>
      <w:r w:rsidR="0026236E">
        <w:t>by the applicant</w:t>
      </w:r>
      <w:r w:rsidR="00A30EF1">
        <w:t xml:space="preserve"> </w:t>
      </w:r>
      <w:r w:rsidR="0026236E">
        <w:t xml:space="preserve">within 30 days </w:t>
      </w:r>
      <w:r w:rsidR="001A708E">
        <w:t xml:space="preserve">from the date issued on the letter of </w:t>
      </w:r>
      <w:r w:rsidR="00B61DA5">
        <w:t>outcome</w:t>
      </w:r>
      <w:r w:rsidR="001C0AC1">
        <w:t xml:space="preserve">. </w:t>
      </w:r>
      <w:r w:rsidR="005F54A2">
        <w:t>O</w:t>
      </w:r>
      <w:r w:rsidR="001C0AC1">
        <w:t>nly appeal applications rec</w:t>
      </w:r>
      <w:r w:rsidR="003A7FF2">
        <w:t>eived by email will be accepted</w:t>
      </w:r>
      <w:r w:rsidR="00B61DA5">
        <w:t>.</w:t>
      </w:r>
    </w:p>
    <w:p w:rsidR="00F83B26" w:rsidRPr="00032D86" w:rsidRDefault="00F83B26" w:rsidP="00F83B26">
      <w:pPr>
        <w:pStyle w:val="ListParagraph"/>
        <w:rPr>
          <w:sz w:val="16"/>
          <w:szCs w:val="16"/>
          <w:lang w:val="en-GB"/>
        </w:rPr>
      </w:pPr>
    </w:p>
    <w:p w:rsidR="0026236E" w:rsidRDefault="0026236E" w:rsidP="001A708E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1A708E">
        <w:t xml:space="preserve">appeal application will be reviewed by the Appeal Review </w:t>
      </w:r>
      <w:r w:rsidR="00F83B26">
        <w:t>Panel</w:t>
      </w:r>
      <w:r w:rsidR="001A708E">
        <w:t xml:space="preserve">, which will assess </w:t>
      </w:r>
      <w:r w:rsidR="005D7BAE">
        <w:t xml:space="preserve">the </w:t>
      </w:r>
      <w:r w:rsidR="001A708E">
        <w:t>application/s against the scholarship criteria</w:t>
      </w:r>
      <w:r w:rsidR="003A7FF2">
        <w:t xml:space="preserve"> and eligibility</w:t>
      </w:r>
      <w:r w:rsidR="00B61DA5">
        <w:t>.</w:t>
      </w:r>
    </w:p>
    <w:p w:rsidR="00F83B26" w:rsidRPr="00032D86" w:rsidRDefault="00F83B26" w:rsidP="00F83B26">
      <w:pPr>
        <w:pStyle w:val="ListParagraph"/>
        <w:spacing w:after="0"/>
        <w:rPr>
          <w:sz w:val="16"/>
          <w:szCs w:val="16"/>
        </w:rPr>
      </w:pPr>
    </w:p>
    <w:p w:rsidR="00F83B26" w:rsidRDefault="0026236E" w:rsidP="00F83B26">
      <w:pPr>
        <w:pStyle w:val="ListParagraph"/>
        <w:numPr>
          <w:ilvl w:val="0"/>
          <w:numId w:val="3"/>
        </w:numPr>
        <w:spacing w:after="0"/>
      </w:pPr>
      <w:r>
        <w:t xml:space="preserve">The </w:t>
      </w:r>
      <w:r w:rsidR="00F83B26" w:rsidRPr="00F83B26">
        <w:t xml:space="preserve">Appeal Review Panel </w:t>
      </w:r>
      <w:r w:rsidR="001A708E">
        <w:t>will</w:t>
      </w:r>
      <w:r>
        <w:t xml:space="preserve"> present </w:t>
      </w:r>
      <w:r w:rsidR="001A708E">
        <w:t xml:space="preserve">their </w:t>
      </w:r>
      <w:r w:rsidR="00746DCD">
        <w:t xml:space="preserve">findings </w:t>
      </w:r>
      <w:r w:rsidR="001A708E">
        <w:t>to</w:t>
      </w:r>
      <w:r>
        <w:t xml:space="preserve"> the Chief Nurse and Midwifery Officer for a final</w:t>
      </w:r>
      <w:r w:rsidR="001A708E">
        <w:t xml:space="preserve"> </w:t>
      </w:r>
      <w:r w:rsidR="003A7FF2">
        <w:t>decision</w:t>
      </w:r>
    </w:p>
    <w:p w:rsidR="00F83B26" w:rsidRPr="00032D86" w:rsidRDefault="00F83B26" w:rsidP="00F83B26">
      <w:pPr>
        <w:pStyle w:val="ListParagraph"/>
        <w:rPr>
          <w:sz w:val="16"/>
          <w:szCs w:val="16"/>
        </w:rPr>
      </w:pPr>
    </w:p>
    <w:p w:rsidR="0082037D" w:rsidRDefault="005D7BAE" w:rsidP="00F83B26">
      <w:pPr>
        <w:pStyle w:val="ListParagraph"/>
        <w:numPr>
          <w:ilvl w:val="0"/>
          <w:numId w:val="3"/>
        </w:numPr>
        <w:spacing w:after="0"/>
      </w:pPr>
      <w:r>
        <w:t>The Chief Nurse and Midwifery Officer’s decision is final</w:t>
      </w:r>
      <w:r w:rsidR="005F54A2">
        <w:t xml:space="preserve">. </w:t>
      </w:r>
      <w:r w:rsidR="00F83B26" w:rsidRPr="00F83B26">
        <w:t xml:space="preserve">The </w:t>
      </w:r>
      <w:r w:rsidR="003514C5">
        <w:t>C</w:t>
      </w:r>
      <w:r w:rsidR="00F83B26">
        <w:t>N</w:t>
      </w:r>
      <w:r w:rsidR="00B61DA5">
        <w:t>M</w:t>
      </w:r>
      <w:r w:rsidR="003514C5">
        <w:t xml:space="preserve"> </w:t>
      </w:r>
      <w:r w:rsidR="00B61DA5">
        <w:t>O</w:t>
      </w:r>
      <w:r w:rsidR="003514C5">
        <w:t>ffice</w:t>
      </w:r>
      <w:r w:rsidR="00F83B26" w:rsidRPr="00F83B26">
        <w:t xml:space="preserve"> will not </w:t>
      </w:r>
      <w:proofErr w:type="gramStart"/>
      <w:r w:rsidR="00F83B26" w:rsidRPr="00F83B26">
        <w:t>enter into</w:t>
      </w:r>
      <w:proofErr w:type="gramEnd"/>
      <w:r w:rsidR="00F83B26" w:rsidRPr="00F83B26">
        <w:t xml:space="preserve"> any oral or written correspondence about </w:t>
      </w:r>
      <w:r w:rsidR="005F54A2">
        <w:t xml:space="preserve">the </w:t>
      </w:r>
      <w:r w:rsidR="00F83B26" w:rsidRPr="00F83B26">
        <w:t>decision</w:t>
      </w:r>
      <w:r w:rsidR="00B61DA5">
        <w:t>.</w:t>
      </w:r>
    </w:p>
    <w:p w:rsidR="00F83B26" w:rsidRPr="00032D86" w:rsidRDefault="00F83B26" w:rsidP="00F83B26">
      <w:pPr>
        <w:pStyle w:val="ListParagraph"/>
        <w:spacing w:after="0"/>
        <w:rPr>
          <w:sz w:val="16"/>
          <w:szCs w:val="16"/>
        </w:rPr>
      </w:pPr>
    </w:p>
    <w:p w:rsidR="003C2975" w:rsidRDefault="005D7BAE" w:rsidP="003C2975">
      <w:pPr>
        <w:pStyle w:val="ListParagraph"/>
        <w:numPr>
          <w:ilvl w:val="0"/>
          <w:numId w:val="3"/>
        </w:numPr>
        <w:spacing w:after="0"/>
      </w:pPr>
      <w:r>
        <w:t>Notification of</w:t>
      </w:r>
      <w:r w:rsidR="00B61DA5">
        <w:t xml:space="preserve"> the</w:t>
      </w:r>
      <w:r>
        <w:t xml:space="preserve"> outcome </w:t>
      </w:r>
      <w:r w:rsidR="00B61DA5">
        <w:t xml:space="preserve">of the appeal </w:t>
      </w:r>
      <w:r>
        <w:t xml:space="preserve">will be issued </w:t>
      </w:r>
      <w:r w:rsidR="001C0AC1" w:rsidRPr="003C2975">
        <w:t>within 14 working days of</w:t>
      </w:r>
      <w:r w:rsidR="001C0AC1">
        <w:t xml:space="preserve"> </w:t>
      </w:r>
      <w:r w:rsidR="00B61DA5">
        <w:t xml:space="preserve">the </w:t>
      </w:r>
      <w:r w:rsidR="001C0AC1">
        <w:t xml:space="preserve">NMO receiving the application. A letter of </w:t>
      </w:r>
      <w:r w:rsidR="000A1B69">
        <w:t>outcome of</w:t>
      </w:r>
      <w:r w:rsidR="00B61DA5">
        <w:t xml:space="preserve"> the appeal </w:t>
      </w:r>
      <w:r w:rsidR="001C0AC1">
        <w:t>will be posted to the applicant.</w:t>
      </w:r>
    </w:p>
    <w:p w:rsidR="003C2975" w:rsidRDefault="003C2975" w:rsidP="003C2975">
      <w:pPr>
        <w:spacing w:after="0"/>
      </w:pPr>
    </w:p>
    <w:p w:rsidR="003C2975" w:rsidRDefault="003C2975">
      <w:pPr>
        <w:spacing w:after="0"/>
      </w:pPr>
      <w:r>
        <w:br w:type="page"/>
      </w:r>
    </w:p>
    <w:p w:rsidR="003C2975" w:rsidRDefault="003C2975" w:rsidP="003C2975">
      <w:pPr>
        <w:spacing w:after="0"/>
      </w:pPr>
    </w:p>
    <w:p w:rsidR="003C2975" w:rsidRDefault="003C2975" w:rsidP="003C2975">
      <w:pPr>
        <w:spacing w:after="0"/>
        <w:rPr>
          <w:rFonts w:eastAsia="Times New Roman"/>
          <w:b/>
          <w:bCs/>
          <w:color w:val="005B6C"/>
          <w:sz w:val="30"/>
          <w:szCs w:val="26"/>
          <w:lang w:val="en-GB"/>
        </w:rPr>
      </w:pPr>
      <w:r w:rsidRPr="003C2975">
        <w:rPr>
          <w:rFonts w:eastAsia="Times New Roman"/>
          <w:b/>
          <w:bCs/>
          <w:color w:val="005B6C"/>
          <w:sz w:val="30"/>
          <w:szCs w:val="26"/>
          <w:lang w:val="en-GB"/>
        </w:rPr>
        <w:t>Documentation</w:t>
      </w:r>
    </w:p>
    <w:p w:rsidR="003C2975" w:rsidRDefault="003C2975" w:rsidP="003C2975">
      <w:pPr>
        <w:spacing w:after="0"/>
      </w:pPr>
      <w:r>
        <w:t xml:space="preserve">For </w:t>
      </w:r>
      <w:r w:rsidR="003A7FF2">
        <w:t>the</w:t>
      </w:r>
      <w:r>
        <w:t xml:space="preserve"> appeal application to be considered, you must complete the</w:t>
      </w:r>
      <w:r w:rsidR="003A7FF2">
        <w:t xml:space="preserve"> Scholarship Appeal Application</w:t>
      </w:r>
      <w:r>
        <w:t xml:space="preserve"> Form. The Scholarship Appeal Application Form can be downloaded from the </w:t>
      </w:r>
      <w:r w:rsidR="003514C5">
        <w:t xml:space="preserve">Chief </w:t>
      </w:r>
      <w:hyperlink r:id="rId8" w:history="1">
        <w:r w:rsidRPr="005D7BAE">
          <w:rPr>
            <w:rStyle w:val="Hyperlink"/>
          </w:rPr>
          <w:t>Nursing and Midwifery Office website</w:t>
        </w:r>
      </w:hyperlink>
      <w:r>
        <w:t>. Only scholarship applications submitted online are eligible to apply for an appeal application.</w:t>
      </w:r>
    </w:p>
    <w:p w:rsidR="003C2975" w:rsidRDefault="003C2975" w:rsidP="003C2975">
      <w:pPr>
        <w:spacing w:after="0"/>
      </w:pPr>
    </w:p>
    <w:p w:rsidR="003C2975" w:rsidRDefault="003C2975" w:rsidP="003C2975">
      <w:pPr>
        <w:spacing w:after="0"/>
      </w:pPr>
      <w:r>
        <w:t>The documents required are:</w:t>
      </w:r>
    </w:p>
    <w:p w:rsidR="003C2975" w:rsidRDefault="005D7BAE" w:rsidP="003C2975">
      <w:pPr>
        <w:pStyle w:val="ListParagraph"/>
        <w:numPr>
          <w:ilvl w:val="0"/>
          <w:numId w:val="6"/>
        </w:numPr>
        <w:spacing w:after="0"/>
      </w:pPr>
      <w:r>
        <w:t>S</w:t>
      </w:r>
      <w:r w:rsidR="003C2975">
        <w:t>cholarship Appeal Application Form</w:t>
      </w:r>
    </w:p>
    <w:p w:rsidR="003C2975" w:rsidRDefault="00032D86" w:rsidP="003C2975">
      <w:pPr>
        <w:pStyle w:val="ListParagraph"/>
        <w:numPr>
          <w:ilvl w:val="0"/>
          <w:numId w:val="6"/>
        </w:numPr>
        <w:spacing w:after="0"/>
      </w:pPr>
      <w:r>
        <w:t>A</w:t>
      </w:r>
      <w:r w:rsidR="003C2975">
        <w:t>ny additional supporting documents</w:t>
      </w:r>
      <w:r w:rsidR="005D7BAE">
        <w:t xml:space="preserve"> to support you appeal</w:t>
      </w:r>
      <w:r w:rsidR="003C2975">
        <w:t xml:space="preserve"> </w:t>
      </w:r>
      <w:r w:rsidR="00CD20A5">
        <w:t>application.</w:t>
      </w:r>
    </w:p>
    <w:p w:rsidR="003C2975" w:rsidRDefault="003C2975" w:rsidP="003C2975">
      <w:pPr>
        <w:spacing w:after="0"/>
      </w:pPr>
    </w:p>
    <w:p w:rsidR="001C0AC1" w:rsidRDefault="003C2975" w:rsidP="003C2975">
      <w:pPr>
        <w:spacing w:after="0"/>
      </w:pPr>
      <w:r>
        <w:t xml:space="preserve">Failure to provide </w:t>
      </w:r>
      <w:r w:rsidR="001C0AC1">
        <w:t>a completed</w:t>
      </w:r>
      <w:r>
        <w:t xml:space="preserve"> Scholarship Appe</w:t>
      </w:r>
      <w:r w:rsidR="005D7BAE">
        <w:t>al Application Form will result</w:t>
      </w:r>
      <w:r>
        <w:t xml:space="preserve"> in your application</w:t>
      </w:r>
      <w:r w:rsidR="00B61DA5">
        <w:t xml:space="preserve"> for appeal</w:t>
      </w:r>
      <w:r>
        <w:t xml:space="preserve"> not being assessed</w:t>
      </w:r>
      <w:r w:rsidR="001C0AC1">
        <w:t xml:space="preserve"> by the Appeal Review Panel</w:t>
      </w:r>
      <w:r>
        <w:t xml:space="preserve">. All appeal applications must be sent to </w:t>
      </w:r>
      <w:r w:rsidR="00B61DA5">
        <w:t xml:space="preserve">the </w:t>
      </w:r>
      <w:r w:rsidR="003514C5">
        <w:t>C</w:t>
      </w:r>
      <w:r>
        <w:t>NM</w:t>
      </w:r>
      <w:r w:rsidR="003514C5">
        <w:t xml:space="preserve"> </w:t>
      </w:r>
      <w:r>
        <w:t>O</w:t>
      </w:r>
      <w:r w:rsidR="003514C5">
        <w:t>ffice</w:t>
      </w:r>
      <w:r>
        <w:t xml:space="preserve"> via email </w:t>
      </w:r>
      <w:hyperlink r:id="rId9" w:history="1">
        <w:r w:rsidR="005D7BAE" w:rsidRPr="004C402A">
          <w:rPr>
            <w:rStyle w:val="Hyperlink"/>
          </w:rPr>
          <w:t>nmo.scholarships@health.wa.gov.au</w:t>
        </w:r>
      </w:hyperlink>
      <w:r w:rsidR="005D7BAE">
        <w:t xml:space="preserve"> </w:t>
      </w:r>
      <w:r>
        <w:t>with a subject heading titled</w:t>
      </w:r>
      <w:r w:rsidR="00CD20A5">
        <w:t xml:space="preserve"> “Scholarship Appeal Application”.</w:t>
      </w:r>
      <w:r w:rsidR="001C0AC1">
        <w:t xml:space="preserve"> Only emailed appeal application will be accepted.</w:t>
      </w:r>
    </w:p>
    <w:p w:rsidR="000A7EAD" w:rsidRDefault="00746DCD" w:rsidP="003C2975">
      <w:pPr>
        <w:pStyle w:val="Heading2"/>
        <w:rPr>
          <w:lang w:val="en-GB"/>
        </w:rPr>
      </w:pPr>
      <w:r w:rsidRPr="003C2975">
        <w:rPr>
          <w:lang w:val="en-GB"/>
        </w:rPr>
        <w:t>Contact us</w:t>
      </w:r>
    </w:p>
    <w:p w:rsidR="00F83B26" w:rsidRDefault="003C2975" w:rsidP="003C2975">
      <w:pPr>
        <w:rPr>
          <w:lang w:val="en-GB"/>
        </w:rPr>
      </w:pPr>
      <w:r>
        <w:rPr>
          <w:lang w:val="en-GB"/>
        </w:rPr>
        <w:t xml:space="preserve">For all scholarships and </w:t>
      </w:r>
      <w:r w:rsidR="00B61DA5">
        <w:rPr>
          <w:lang w:val="en-GB"/>
        </w:rPr>
        <w:t xml:space="preserve">/ </w:t>
      </w:r>
      <w:r>
        <w:rPr>
          <w:lang w:val="en-GB"/>
        </w:rPr>
        <w:t>or appeal queries</w:t>
      </w:r>
      <w:r w:rsidR="00B61DA5">
        <w:rPr>
          <w:lang w:val="en-GB"/>
        </w:rPr>
        <w:t>,</w:t>
      </w:r>
      <w:r>
        <w:rPr>
          <w:lang w:val="en-GB"/>
        </w:rPr>
        <w:t xml:space="preserve"> please contact </w:t>
      </w:r>
      <w:r w:rsidR="003514C5">
        <w:rPr>
          <w:lang w:val="en-GB"/>
        </w:rPr>
        <w:t>Rebekah Totino</w:t>
      </w:r>
      <w:r w:rsidR="001C0AC1">
        <w:rPr>
          <w:lang w:val="en-GB"/>
        </w:rPr>
        <w:t xml:space="preserve">, Program Officer, </w:t>
      </w:r>
      <w:r w:rsidR="003514C5">
        <w:rPr>
          <w:lang w:val="en-GB"/>
        </w:rPr>
        <w:t xml:space="preserve">Chief </w:t>
      </w:r>
      <w:r>
        <w:rPr>
          <w:lang w:val="en-GB"/>
        </w:rPr>
        <w:t>Nursing and Midwifery Office</w:t>
      </w:r>
      <w:r w:rsidR="00F83B26">
        <w:rPr>
          <w:lang w:val="en-GB"/>
        </w:rPr>
        <w:t xml:space="preserve"> directly </w:t>
      </w:r>
      <w:r>
        <w:rPr>
          <w:lang w:val="en-GB"/>
        </w:rPr>
        <w:t xml:space="preserve">on (08) </w:t>
      </w:r>
      <w:r w:rsidR="003514C5">
        <w:rPr>
          <w:lang w:val="en-GB"/>
        </w:rPr>
        <w:t>6373 2272</w:t>
      </w:r>
      <w:r>
        <w:rPr>
          <w:lang w:val="en-GB"/>
        </w:rPr>
        <w:t xml:space="preserve"> or email </w:t>
      </w:r>
      <w:hyperlink r:id="rId10" w:history="1">
        <w:r w:rsidRPr="004C402A">
          <w:rPr>
            <w:rStyle w:val="Hyperlink"/>
            <w:lang w:val="en-GB"/>
          </w:rPr>
          <w:t>nmo.scholarships@health.wa.gov.au</w:t>
        </w:r>
      </w:hyperlink>
      <w:r w:rsidR="00F83B26">
        <w:rPr>
          <w:lang w:val="en-GB"/>
        </w:rPr>
        <w:t xml:space="preserve">. </w:t>
      </w:r>
    </w:p>
    <w:sectPr w:rsidR="00F83B26" w:rsidSect="002322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680" w:right="680" w:bottom="680" w:left="680" w:header="680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AE" w:rsidRDefault="002E74AE" w:rsidP="0013662A">
      <w:pPr>
        <w:spacing w:after="0"/>
      </w:pPr>
      <w:r>
        <w:separator/>
      </w:r>
    </w:p>
  </w:endnote>
  <w:endnote w:type="continuationSeparator" w:id="0">
    <w:p w:rsidR="002E74AE" w:rsidRDefault="002E74AE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4F" w:rsidRDefault="00414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44" w:rsidRPr="00CE0BF0" w:rsidRDefault="00DE5FF0" w:rsidP="009B0844">
    <w:pPr>
      <w:spacing w:after="360"/>
      <w:rPr>
        <w:rStyle w:val="Bold"/>
        <w:color w:val="005B6C"/>
        <w:sz w:val="36"/>
        <w:szCs w:val="36"/>
      </w:rPr>
    </w:pPr>
    <w:r>
      <w:rPr>
        <w:b/>
        <w:noProof/>
        <w:color w:val="005B6C"/>
        <w:sz w:val="36"/>
        <w:szCs w:val="36"/>
        <w:lang w:eastAsia="en-AU"/>
      </w:rPr>
      <w:drawing>
        <wp:inline distT="0" distB="0" distL="0" distR="0" wp14:anchorId="1D0CD859" wp14:editId="10D48B54">
          <wp:extent cx="579755" cy="579755"/>
          <wp:effectExtent l="0" t="0" r="0" b="0"/>
          <wp:docPr id="2" name="Picture 5" descr="Scan this QR code with your smart phone to go the WA Health's Healthy WA website" title="Department of Health QR C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can this QR code with your smart phone to go the WA Health's Healthy WA website" title="Department of Health QR Code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Pr="00AF7C07">
      <w:rPr>
        <w:b/>
      </w:rPr>
      <w:br/>
      <w:t>on request for a person with a disability.</w:t>
    </w:r>
  </w:p>
  <w:p w:rsidR="009B0844" w:rsidRDefault="009B0844" w:rsidP="009B0844">
    <w:pPr>
      <w:spacing w:after="300"/>
      <w:ind w:right="-1"/>
    </w:pPr>
    <w:r>
      <w:t xml:space="preserve">© Department of Health </w:t>
    </w:r>
    <w:r>
      <w:t>20</w:t>
    </w:r>
    <w:r w:rsidR="0041434F">
      <w:t>21</w:t>
    </w:r>
    <w:bookmarkStart w:id="0" w:name="_GoBack"/>
    <w:bookmarkEnd w:id="0"/>
  </w:p>
  <w:p w:rsidR="009B0844" w:rsidRDefault="009B0844" w:rsidP="009B0844">
    <w:pPr>
      <w:pStyle w:val="TEXT"/>
      <w:spacing w:line="240" w:lineRule="auto"/>
      <w:ind w:right="-1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9B0844" w:rsidRDefault="00521D1A" w:rsidP="00521D1A">
    <w:pPr>
      <w:pStyle w:val="TEXT"/>
      <w:spacing w:before="240" w:line="240" w:lineRule="auto"/>
      <w:rPr>
        <w:rFonts w:ascii="Arial" w:hAnsi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62A" w:rsidRPr="00CE0BF0" w:rsidRDefault="00DE5FF0" w:rsidP="00232283">
    <w:pPr>
      <w:spacing w:after="240"/>
      <w:rPr>
        <w:b/>
        <w:color w:val="005B6C"/>
        <w:sz w:val="30"/>
        <w:szCs w:val="30"/>
      </w:rPr>
    </w:pPr>
    <w:r>
      <w:rPr>
        <w:rStyle w:val="Bold"/>
        <w:color w:val="005B6C"/>
        <w:sz w:val="30"/>
        <w:szCs w:val="30"/>
      </w:rPr>
      <w:t>www.nursing.</w:t>
    </w:r>
    <w:r w:rsidR="00232283" w:rsidRPr="00CE0BF0">
      <w:rPr>
        <w:rStyle w:val="Bold"/>
        <w:color w:val="005B6C"/>
        <w:sz w:val="30"/>
        <w:szCs w:val="30"/>
      </w:rPr>
      <w:t>health.wa.gov.au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AE" w:rsidRDefault="002E74AE" w:rsidP="0013662A">
      <w:pPr>
        <w:spacing w:after="0"/>
      </w:pPr>
      <w:r>
        <w:separator/>
      </w:r>
    </w:p>
  </w:footnote>
  <w:footnote w:type="continuationSeparator" w:id="0">
    <w:p w:rsidR="002E74AE" w:rsidRDefault="002E74AE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4F" w:rsidRDefault="00414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4F" w:rsidRDefault="004143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79F" w:rsidRDefault="003514C5">
    <w:pPr>
      <w:pStyle w:val="Header"/>
    </w:pPr>
    <w:r>
      <w:rPr>
        <w:noProof/>
        <w:lang w:eastAsia="en-AU"/>
      </w:rPr>
      <w:drawing>
        <wp:inline distT="0" distB="0" distL="0" distR="0" wp14:anchorId="28C9D992" wp14:editId="62AC8BE8">
          <wp:extent cx="2867025" cy="537026"/>
          <wp:effectExtent l="0" t="0" r="0" b="0"/>
          <wp:docPr id="3" name="Picture 3" descr="W:\Health Reform\EPG\CNMO\Marketing\Logos\1 CNMO Logos\CNMO Logos\Chief Nursing and Midwifery Office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Health Reform\EPG\CNMO\Marketing\Logos\1 CNMO Logos\CNMO Logos\Chief Nursing and Midwifery Office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37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3F9"/>
    <w:multiLevelType w:val="hybridMultilevel"/>
    <w:tmpl w:val="D3A63F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12E8A"/>
    <w:multiLevelType w:val="hybridMultilevel"/>
    <w:tmpl w:val="1FE854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16A"/>
    <w:multiLevelType w:val="multilevel"/>
    <w:tmpl w:val="6CE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56B1D"/>
    <w:multiLevelType w:val="hybridMultilevel"/>
    <w:tmpl w:val="BB46ED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6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5492"/>
    <w:multiLevelType w:val="hybridMultilevel"/>
    <w:tmpl w:val="B55287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BD"/>
    <w:rsid w:val="00032D86"/>
    <w:rsid w:val="000817F3"/>
    <w:rsid w:val="000A1B69"/>
    <w:rsid w:val="000A7EAD"/>
    <w:rsid w:val="0010416D"/>
    <w:rsid w:val="0013662A"/>
    <w:rsid w:val="001437E0"/>
    <w:rsid w:val="00171B7B"/>
    <w:rsid w:val="001A3A00"/>
    <w:rsid w:val="001A708E"/>
    <w:rsid w:val="001C0AC1"/>
    <w:rsid w:val="001C7394"/>
    <w:rsid w:val="001C7D1F"/>
    <w:rsid w:val="001F6030"/>
    <w:rsid w:val="001F68E9"/>
    <w:rsid w:val="00220E8F"/>
    <w:rsid w:val="00232283"/>
    <w:rsid w:val="0026236E"/>
    <w:rsid w:val="002667F9"/>
    <w:rsid w:val="002C7D7D"/>
    <w:rsid w:val="002E5F5B"/>
    <w:rsid w:val="002E74AE"/>
    <w:rsid w:val="003514C5"/>
    <w:rsid w:val="00355004"/>
    <w:rsid w:val="003929E7"/>
    <w:rsid w:val="003A7FF2"/>
    <w:rsid w:val="003C2975"/>
    <w:rsid w:val="0041434F"/>
    <w:rsid w:val="00466DB9"/>
    <w:rsid w:val="00471692"/>
    <w:rsid w:val="00492C70"/>
    <w:rsid w:val="004A609E"/>
    <w:rsid w:val="004C2780"/>
    <w:rsid w:val="004C27CB"/>
    <w:rsid w:val="004C6976"/>
    <w:rsid w:val="00521D1A"/>
    <w:rsid w:val="00556F2E"/>
    <w:rsid w:val="0056716B"/>
    <w:rsid w:val="00597A85"/>
    <w:rsid w:val="005A409E"/>
    <w:rsid w:val="005D455D"/>
    <w:rsid w:val="005D7BAE"/>
    <w:rsid w:val="005F54A2"/>
    <w:rsid w:val="006052FC"/>
    <w:rsid w:val="006C048D"/>
    <w:rsid w:val="006C5F87"/>
    <w:rsid w:val="006F1E2D"/>
    <w:rsid w:val="006F52D0"/>
    <w:rsid w:val="00746DCD"/>
    <w:rsid w:val="00753150"/>
    <w:rsid w:val="00757FE7"/>
    <w:rsid w:val="0077027C"/>
    <w:rsid w:val="0077279F"/>
    <w:rsid w:val="00794DF0"/>
    <w:rsid w:val="007D3AE7"/>
    <w:rsid w:val="007D793C"/>
    <w:rsid w:val="0082037D"/>
    <w:rsid w:val="00881846"/>
    <w:rsid w:val="00882643"/>
    <w:rsid w:val="00897837"/>
    <w:rsid w:val="008C78DF"/>
    <w:rsid w:val="008E3665"/>
    <w:rsid w:val="008F7FE4"/>
    <w:rsid w:val="009268E4"/>
    <w:rsid w:val="00930DF8"/>
    <w:rsid w:val="00933CEB"/>
    <w:rsid w:val="00937D79"/>
    <w:rsid w:val="009658D5"/>
    <w:rsid w:val="009668ED"/>
    <w:rsid w:val="00981DA1"/>
    <w:rsid w:val="00990D6C"/>
    <w:rsid w:val="009B0844"/>
    <w:rsid w:val="00A30EF1"/>
    <w:rsid w:val="00A611B8"/>
    <w:rsid w:val="00A91C4C"/>
    <w:rsid w:val="00AA1620"/>
    <w:rsid w:val="00AF0C79"/>
    <w:rsid w:val="00B17ECC"/>
    <w:rsid w:val="00B61DA5"/>
    <w:rsid w:val="00B85FD3"/>
    <w:rsid w:val="00B87191"/>
    <w:rsid w:val="00BB5682"/>
    <w:rsid w:val="00BC7D6C"/>
    <w:rsid w:val="00BD41EB"/>
    <w:rsid w:val="00BD7C33"/>
    <w:rsid w:val="00BE3C2D"/>
    <w:rsid w:val="00C31171"/>
    <w:rsid w:val="00C7143D"/>
    <w:rsid w:val="00C729CE"/>
    <w:rsid w:val="00CD20A5"/>
    <w:rsid w:val="00CE0BF0"/>
    <w:rsid w:val="00CF2778"/>
    <w:rsid w:val="00CF64E2"/>
    <w:rsid w:val="00D147D4"/>
    <w:rsid w:val="00D636EE"/>
    <w:rsid w:val="00D9301F"/>
    <w:rsid w:val="00DB05AE"/>
    <w:rsid w:val="00DC300B"/>
    <w:rsid w:val="00DD22D0"/>
    <w:rsid w:val="00DE4BFE"/>
    <w:rsid w:val="00DE5FF0"/>
    <w:rsid w:val="00DE7B68"/>
    <w:rsid w:val="00E40563"/>
    <w:rsid w:val="00E47483"/>
    <w:rsid w:val="00EA262F"/>
    <w:rsid w:val="00F647BD"/>
    <w:rsid w:val="00F83B26"/>
    <w:rsid w:val="00FC4569"/>
    <w:rsid w:val="00FE0713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590C3"/>
  <w15:docId w15:val="{695BC215-7294-43A4-8F4F-61404DA2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005B6C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005B6C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005B6C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005B6C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005B6C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005B6C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00435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4350"/>
    </w:rPr>
    <w:tblPr>
      <w:tblStyleRowBandSize w:val="1"/>
      <w:tblStyleColBandSize w:val="1"/>
      <w:tblBorders>
        <w:top w:val="single" w:sz="8" w:space="0" w:color="005B6C"/>
        <w:bottom w:val="single" w:sz="8" w:space="0" w:color="005B6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/>
          <w:left w:val="nil"/>
          <w:bottom w:val="single" w:sz="8" w:space="0" w:color="005B6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  <w:insideH w:val="single" w:sz="8" w:space="0" w:color="005B6C"/>
        <w:insideV w:val="single" w:sz="8" w:space="0" w:color="005B6C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1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  <w:shd w:val="clear" w:color="auto" w:fill="9BEFFF"/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  <w:shd w:val="clear" w:color="auto" w:fill="9BEFFF"/>
      </w:tcPr>
    </w:tblStylePr>
    <w:tblStylePr w:type="band2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005B6C"/>
          <w:left w:val="single" w:sz="8" w:space="0" w:color="005B6C"/>
          <w:bottom w:val="single" w:sz="1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6C"/>
          <w:left w:val="single" w:sz="8" w:space="0" w:color="005B6C"/>
          <w:bottom w:val="single" w:sz="8" w:space="0" w:color="005B6C"/>
          <w:right w:val="single" w:sz="8" w:space="0" w:color="005B6C"/>
          <w:insideH w:val="nil"/>
          <w:insideV w:val="single" w:sz="8" w:space="0" w:color="005B6C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</w:tcPr>
    </w:tblStylePr>
    <w:tblStylePr w:type="band1Vert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</w:tcBorders>
        <w:shd w:val="clear" w:color="auto" w:fill="9BEFFF"/>
      </w:tcPr>
    </w:tblStylePr>
    <w:tblStylePr w:type="band1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  <w:shd w:val="clear" w:color="auto" w:fill="005B6C"/>
      </w:tcPr>
    </w:tblStylePr>
    <w:tblStylePr w:type="band2Horz">
      <w:tblPr/>
      <w:tcPr>
        <w:tcBorders>
          <w:top w:val="single" w:sz="8" w:space="0" w:color="005B6C"/>
          <w:left w:val="single" w:sz="8" w:space="0" w:color="005B6C"/>
          <w:bottom w:val="single" w:sz="8" w:space="0" w:color="005B6C"/>
          <w:right w:val="single" w:sz="8" w:space="0" w:color="005B6C"/>
          <w:insideV w:val="single" w:sz="8" w:space="0" w:color="005B6C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AFD0"/>
        <w:left w:val="single" w:sz="8" w:space="0" w:color="00AFD0"/>
        <w:bottom w:val="single" w:sz="8" w:space="0" w:color="00AFD0"/>
        <w:right w:val="single" w:sz="8" w:space="0" w:color="00AFD0"/>
        <w:insideH w:val="single" w:sz="8" w:space="0" w:color="00AFD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  <w:shd w:val="clear" w:color="auto" w:fill="005B6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/>
          <w:left w:val="single" w:sz="8" w:space="0" w:color="00AFD0"/>
          <w:bottom w:val="single" w:sz="8" w:space="0" w:color="00AFD0"/>
          <w:right w:val="single" w:sz="8" w:space="0" w:color="00AFD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5B6C"/>
        <w:bottom w:val="single" w:sz="8" w:space="0" w:color="005B6C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5B6C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band1Vert">
      <w:tblPr/>
      <w:tcPr>
        <w:shd w:val="clear" w:color="auto" w:fill="9BEFFF"/>
      </w:tcPr>
    </w:tblStylePr>
    <w:tblStylePr w:type="band1Horz">
      <w:tblPr/>
      <w:tcPr>
        <w:shd w:val="clear" w:color="auto" w:fill="9BEF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005B6C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/>
          <w:bottom w:val="single" w:sz="8" w:space="0" w:color="005B6C"/>
        </w:tcBorders>
      </w:tcPr>
    </w:tblStylePr>
    <w:tblStylePr w:type="band1Vert">
      <w:tblPr/>
      <w:tcPr>
        <w:shd w:val="clear" w:color="auto" w:fill="9BEFFF"/>
      </w:tcPr>
    </w:tblStylePr>
    <w:tblStylePr w:type="band1Horz">
      <w:tblPr/>
      <w:tcPr>
        <w:shd w:val="clear" w:color="auto" w:fill="005B6C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6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6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5B6C"/>
        <w:left w:val="single" w:sz="8" w:space="0" w:color="005B6C"/>
        <w:bottom w:val="single" w:sz="8" w:space="0" w:color="005B6C"/>
        <w:right w:val="single" w:sz="8" w:space="0" w:color="005B6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6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6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9658D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C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033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Careers/Occupations/Nursing-and-midwifery/Scholarships-and-financial-assistance/Scholarships/Important-information-for-scholarship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mo.scholarships@health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o.scholarships@health.wa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healthywa.wa.gov.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BF87-5FE1-4F13-AB40-94EA5955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3176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6165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Jasinski, Jeremy</cp:lastModifiedBy>
  <cp:revision>4</cp:revision>
  <cp:lastPrinted>2016-10-26T03:30:00Z</cp:lastPrinted>
  <dcterms:created xsi:type="dcterms:W3CDTF">2021-03-09T01:33:00Z</dcterms:created>
  <dcterms:modified xsi:type="dcterms:W3CDTF">2021-04-07T00:18:00Z</dcterms:modified>
</cp:coreProperties>
</file>